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F299" w14:textId="77777777" w:rsidR="00BA1B37" w:rsidRDefault="00BA1B37">
      <w:pPr>
        <w:pStyle w:val="Cmsor9"/>
        <w:rPr>
          <w:b/>
        </w:rPr>
      </w:pPr>
      <w:bookmarkStart w:id="0" w:name="_Toc483377162"/>
      <w:r>
        <w:rPr>
          <w:b/>
        </w:rPr>
        <w:t>MAGYAR AKKREDITÁCIÓS BIZOTTSÁG</w:t>
      </w:r>
      <w:bookmarkEnd w:id="0"/>
    </w:p>
    <w:p w14:paraId="148CC6A1" w14:textId="77777777" w:rsidR="00BA1B37" w:rsidRDefault="00BA1B37"/>
    <w:p w14:paraId="77ACC974" w14:textId="77777777" w:rsidR="00BA1B37" w:rsidRDefault="00BA1B37"/>
    <w:p w14:paraId="3AB96578" w14:textId="77777777" w:rsidR="00BA1B37" w:rsidRDefault="00BA1B37"/>
    <w:p w14:paraId="75769005" w14:textId="77777777" w:rsidR="00BA1B37" w:rsidRDefault="00BA1B37"/>
    <w:p w14:paraId="60801171" w14:textId="77777777" w:rsidR="00BA1B37" w:rsidRDefault="00BA1B37"/>
    <w:p w14:paraId="2C29FF2F" w14:textId="77777777" w:rsidR="00BA1B37" w:rsidRDefault="00BA1B37"/>
    <w:p w14:paraId="622F6D76" w14:textId="77777777" w:rsidR="00BA1B37" w:rsidRDefault="00BA1B37">
      <w:pPr>
        <w:jc w:val="center"/>
        <w:rPr>
          <w:b/>
          <w:sz w:val="32"/>
        </w:rPr>
      </w:pPr>
    </w:p>
    <w:p w14:paraId="50873B55" w14:textId="77777777" w:rsidR="00BA1B37" w:rsidRDefault="00BA1B37">
      <w:pPr>
        <w:jc w:val="center"/>
        <w:rPr>
          <w:b/>
          <w:sz w:val="32"/>
        </w:rPr>
      </w:pPr>
    </w:p>
    <w:p w14:paraId="6EFC0232" w14:textId="77777777" w:rsidR="00BA1B37" w:rsidRDefault="00BA1B37">
      <w:pPr>
        <w:jc w:val="center"/>
      </w:pPr>
    </w:p>
    <w:p w14:paraId="54ED1B98" w14:textId="77777777" w:rsidR="00BA1B37" w:rsidRDefault="00BA1B37">
      <w:pPr>
        <w:jc w:val="center"/>
      </w:pPr>
    </w:p>
    <w:p w14:paraId="2748718F" w14:textId="77777777" w:rsidR="00BA1B37" w:rsidRDefault="00BA1B37">
      <w:pPr>
        <w:jc w:val="center"/>
      </w:pPr>
    </w:p>
    <w:p w14:paraId="21393E89" w14:textId="77777777" w:rsidR="00BA1B37" w:rsidRDefault="00BA1B37">
      <w:pPr>
        <w:pStyle w:val="Cmsor4"/>
        <w:rPr>
          <w:b/>
          <w:sz w:val="60"/>
        </w:rPr>
      </w:pPr>
      <w:r>
        <w:rPr>
          <w:b/>
          <w:sz w:val="60"/>
        </w:rPr>
        <w:t>ETIKAI KÓDEX</w:t>
      </w:r>
    </w:p>
    <w:p w14:paraId="2C20E177" w14:textId="77777777" w:rsidR="00BA1B37" w:rsidRDefault="00BA1B37">
      <w:pPr>
        <w:jc w:val="center"/>
      </w:pPr>
    </w:p>
    <w:p w14:paraId="047667F4" w14:textId="77777777" w:rsidR="00BA1B37" w:rsidRDefault="00BA1B37">
      <w:pPr>
        <w:jc w:val="center"/>
      </w:pPr>
    </w:p>
    <w:p w14:paraId="4D7EA753" w14:textId="77777777" w:rsidR="00BA1B37" w:rsidRDefault="00BA1B37">
      <w:pPr>
        <w:jc w:val="center"/>
      </w:pPr>
      <w:r>
        <w:t xml:space="preserve">A MAB </w:t>
      </w:r>
      <w:r>
        <w:rPr>
          <w:b/>
        </w:rPr>
        <w:t>2004/2/II/2</w:t>
      </w:r>
      <w:r>
        <w:t>. sz. határozata</w:t>
      </w:r>
    </w:p>
    <w:p w14:paraId="0EE5F106" w14:textId="77777777" w:rsidR="00BA1B37" w:rsidRDefault="00BA1B37">
      <w:pPr>
        <w:jc w:val="center"/>
      </w:pPr>
    </w:p>
    <w:p w14:paraId="265C2CCD" w14:textId="77777777" w:rsidR="00BA1B37" w:rsidRDefault="00BA1B37">
      <w:pPr>
        <w:jc w:val="center"/>
      </w:pPr>
    </w:p>
    <w:p w14:paraId="392F8219" w14:textId="77777777" w:rsidR="00BA1B37" w:rsidRDefault="00BA1B37">
      <w:pPr>
        <w:jc w:val="center"/>
      </w:pPr>
    </w:p>
    <w:p w14:paraId="6E9ED9D0" w14:textId="77777777" w:rsidR="00BA1B37" w:rsidRDefault="00BA1B37">
      <w:pPr>
        <w:jc w:val="center"/>
      </w:pPr>
      <w:r>
        <w:t xml:space="preserve">(Az </w:t>
      </w:r>
      <w:r>
        <w:rPr>
          <w:i/>
        </w:rPr>
        <w:t>Etikai Kódex</w:t>
      </w:r>
      <w:r>
        <w:t xml:space="preserve"> első változatát a MAB 2000. november 24-i ülésén, </w:t>
      </w:r>
      <w:r>
        <w:br/>
        <w:t xml:space="preserve">a </w:t>
      </w:r>
      <w:r>
        <w:rPr>
          <w:b/>
        </w:rPr>
        <w:t>2000/9/VI/3</w:t>
      </w:r>
      <w:r>
        <w:t>. sz. határozattal hagyta jóvá.)</w:t>
      </w:r>
    </w:p>
    <w:p w14:paraId="5F16ED82" w14:textId="77777777" w:rsidR="00BA1B37" w:rsidRDefault="00BA1B37">
      <w:pPr>
        <w:jc w:val="center"/>
      </w:pPr>
    </w:p>
    <w:p w14:paraId="0DA27244" w14:textId="77777777" w:rsidR="00BA1B37" w:rsidRDefault="00BA1B37">
      <w:pPr>
        <w:jc w:val="center"/>
      </w:pPr>
    </w:p>
    <w:p w14:paraId="2C064C9B" w14:textId="77777777" w:rsidR="00BA1B37" w:rsidRDefault="00BA1B37">
      <w:pPr>
        <w:jc w:val="center"/>
      </w:pPr>
    </w:p>
    <w:p w14:paraId="08B5AF1A" w14:textId="77777777" w:rsidR="00BA1B37" w:rsidRDefault="00BA1B37">
      <w:pPr>
        <w:jc w:val="center"/>
      </w:pPr>
    </w:p>
    <w:p w14:paraId="3D0B354A" w14:textId="77777777" w:rsidR="00BA1B37" w:rsidRDefault="00BA1B37">
      <w:pPr>
        <w:jc w:val="center"/>
      </w:pPr>
    </w:p>
    <w:p w14:paraId="72081E3D" w14:textId="77777777" w:rsidR="00BA1B37" w:rsidRDefault="00BA1B37">
      <w:pPr>
        <w:jc w:val="center"/>
      </w:pPr>
      <w:r>
        <w:rPr>
          <w:noProof/>
        </w:rPr>
        <w:pict w14:anchorId="3B7B37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88.3pt;margin-top:33.45pt;width:83.25pt;height:51.7pt;z-index:1" o:allowincell="f">
            <v:imagedata r:id="rId11" o:title="akrilogo"/>
            <w10:wrap type="topAndBottom"/>
          </v:shape>
        </w:pict>
      </w:r>
    </w:p>
    <w:p w14:paraId="3C7CF981" w14:textId="77777777" w:rsidR="00BA1B37" w:rsidRDefault="00BA1B37">
      <w:pPr>
        <w:jc w:val="center"/>
      </w:pPr>
    </w:p>
    <w:p w14:paraId="217CA0B5" w14:textId="77777777" w:rsidR="00BA1B37" w:rsidRDefault="00BA1B37">
      <w:pPr>
        <w:jc w:val="center"/>
      </w:pPr>
    </w:p>
    <w:p w14:paraId="452E073C" w14:textId="77777777" w:rsidR="00BA1B37" w:rsidRDefault="00BA1B37">
      <w:pPr>
        <w:jc w:val="center"/>
      </w:pPr>
    </w:p>
    <w:p w14:paraId="11D86D94" w14:textId="77777777" w:rsidR="00BA1B37" w:rsidRDefault="00BA1B37">
      <w:pPr>
        <w:jc w:val="center"/>
      </w:pPr>
    </w:p>
    <w:p w14:paraId="36F08602" w14:textId="77777777" w:rsidR="00BA1B37" w:rsidRDefault="00BA1B37">
      <w:pPr>
        <w:jc w:val="center"/>
      </w:pPr>
    </w:p>
    <w:p w14:paraId="4451B9E4" w14:textId="77777777" w:rsidR="00BA1B37" w:rsidRDefault="00BA1B37">
      <w:pPr>
        <w:jc w:val="center"/>
      </w:pPr>
    </w:p>
    <w:p w14:paraId="0E553E64" w14:textId="77777777" w:rsidR="00BA1B37" w:rsidRDefault="00BA1B37">
      <w:pPr>
        <w:jc w:val="center"/>
      </w:pPr>
    </w:p>
    <w:p w14:paraId="77473EA4" w14:textId="77777777" w:rsidR="00BA1B37" w:rsidRDefault="00BA1B37">
      <w:pPr>
        <w:jc w:val="center"/>
      </w:pPr>
    </w:p>
    <w:p w14:paraId="033B2240" w14:textId="77777777" w:rsidR="00BA1B37" w:rsidRDefault="00BA1B37">
      <w:pPr>
        <w:jc w:val="center"/>
      </w:pPr>
    </w:p>
    <w:p w14:paraId="0E9DB0B8" w14:textId="77777777" w:rsidR="00BA1B37" w:rsidRDefault="00BA1B37">
      <w:pPr>
        <w:jc w:val="center"/>
      </w:pPr>
    </w:p>
    <w:p w14:paraId="5291308D" w14:textId="77777777" w:rsidR="00BA1B37" w:rsidRDefault="00BA1B37">
      <w:pPr>
        <w:jc w:val="center"/>
      </w:pPr>
    </w:p>
    <w:p w14:paraId="27007A6C" w14:textId="77777777" w:rsidR="00BA1B37" w:rsidRDefault="00BA1B37">
      <w:pPr>
        <w:jc w:val="center"/>
      </w:pPr>
      <w:r>
        <w:t>2004. február</w:t>
      </w:r>
    </w:p>
    <w:p w14:paraId="58655BF9" w14:textId="77777777" w:rsidR="00BA1B37" w:rsidRDefault="00BA1B37">
      <w:pPr>
        <w:pStyle w:val="lfej"/>
        <w:tabs>
          <w:tab w:val="clear" w:pos="4536"/>
          <w:tab w:val="clear" w:pos="9072"/>
        </w:tabs>
      </w:pPr>
      <w:r>
        <w:br w:type="page"/>
      </w:r>
    </w:p>
    <w:p w14:paraId="43863806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0F200C7C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5B8B9D67" w14:textId="77777777" w:rsidR="00BA1B37" w:rsidRDefault="00BA1B37">
      <w:pPr>
        <w:pStyle w:val="lfej"/>
        <w:tabs>
          <w:tab w:val="clear" w:pos="4536"/>
          <w:tab w:val="clear" w:pos="9072"/>
        </w:tabs>
      </w:pPr>
      <w:r>
        <w:t xml:space="preserve">Mint a Magyar Akkreditációs Bizottság testületének és titkárságának tagjai fontosnak tartjuk, hogy megfogalmazzuk, és nyilvánossá tegyük a munkánkat vezérlő etikai alapelveket. Ezzel egyrészt útmutatást kívánunk nyújtani egyes tagjainknak a munkánkra vonatkozó jogszabályok betartásán túli, önként vállalt szabályok tekintetében, másrészt pedig meg kívánjuk rajzolni az ideális MAB tag arculatát. Körvonalazni tehát egyfajta </w:t>
      </w:r>
      <w:r>
        <w:rPr>
          <w:i/>
        </w:rPr>
        <w:t>ethoszt</w:t>
      </w:r>
      <w:r>
        <w:t>, melynek vállalása és követése a MAB-ot mint szervezetet etikai oldalról meghatározza, s a magyar felsőoktatás minőségének javításában betöltendő szerepét és küldetését híven tükrözi.</w:t>
      </w:r>
    </w:p>
    <w:p w14:paraId="162266A4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40C85C79" w14:textId="77777777" w:rsidR="00BA1B37" w:rsidRDefault="00BA1B37">
      <w:pPr>
        <w:pStyle w:val="lfej"/>
        <w:tabs>
          <w:tab w:val="clear" w:pos="4536"/>
          <w:tab w:val="clear" w:pos="9072"/>
        </w:tabs>
      </w:pPr>
      <w:r>
        <w:t>A jelen etikai kódex tartalmazza tehát azokat az</w:t>
      </w:r>
      <w:r>
        <w:rPr>
          <w:i/>
        </w:rPr>
        <w:t xml:space="preserve"> </w:t>
      </w:r>
      <w:r>
        <w:rPr>
          <w:b/>
        </w:rPr>
        <w:t>értékeket</w:t>
      </w:r>
      <w:r>
        <w:t xml:space="preserve">, és </w:t>
      </w:r>
      <w:r>
        <w:rPr>
          <w:b/>
        </w:rPr>
        <w:t>alapelveket</w:t>
      </w:r>
      <w:r>
        <w:t xml:space="preserve">, és rögzíti azokat a </w:t>
      </w:r>
      <w:r>
        <w:rPr>
          <w:b/>
        </w:rPr>
        <w:t>magatartási szabályokat</w:t>
      </w:r>
      <w:r>
        <w:t>,</w:t>
      </w:r>
      <w:r>
        <w:rPr>
          <w:i/>
        </w:rPr>
        <w:t xml:space="preserve"> </w:t>
      </w:r>
      <w:r>
        <w:t xml:space="preserve">melyeket a Magyar Akkreditációs Bizottság (MAB) </w:t>
      </w:r>
      <w:r>
        <w:rPr>
          <w:b/>
        </w:rPr>
        <w:t>testületének</w:t>
      </w:r>
      <w:r>
        <w:t xml:space="preserve"> (a Plénum és a bizottságok tagjai) és </w:t>
      </w:r>
      <w:r>
        <w:rPr>
          <w:b/>
        </w:rPr>
        <w:t>titkárságának</w:t>
      </w:r>
      <w:r>
        <w:t xml:space="preserve"> tagjai számára követendőnek tart és </w:t>
      </w:r>
      <w:r>
        <w:rPr>
          <w:b/>
        </w:rPr>
        <w:t>ajánlásként</w:t>
      </w:r>
      <w:r>
        <w:t xml:space="preserve"> megfogalmaz. Az e szabályok és értékek mellett való elkötelezettség, s azok mindenkori követése biztosíthatja azt, hogy a MAB törvényszabta és saját maga által kitűzött feladatait a tevékenységének szűkebben vett érintettjei, továbbá a törvényalkotók, és az egész magyar társadalom megelégedésére és megbecsülésére lássa el.</w:t>
      </w:r>
    </w:p>
    <w:p w14:paraId="61905EF4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7A979E0A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2596D8F3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270DAABC" w14:textId="77777777" w:rsidR="00BA1B37" w:rsidRDefault="00BA1B37">
      <w:pPr>
        <w:pStyle w:val="lfej"/>
        <w:tabs>
          <w:tab w:val="clear" w:pos="4536"/>
          <w:tab w:val="clear" w:pos="9072"/>
        </w:tabs>
        <w:rPr>
          <w:b/>
        </w:rPr>
      </w:pPr>
      <w:r>
        <w:rPr>
          <w:b/>
        </w:rPr>
        <w:t>I. ÉRTÉKEK, ALAPELVEK, SZABÁLYOK</w:t>
      </w:r>
    </w:p>
    <w:p w14:paraId="525BBA93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24116FCC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4BFAA925" w14:textId="77777777" w:rsidR="00BA1B37" w:rsidRDefault="00BA1B37">
      <w:pPr>
        <w:pStyle w:val="lfej"/>
        <w:numPr>
          <w:ilvl w:val="0"/>
          <w:numId w:val="1"/>
        </w:numPr>
        <w:tabs>
          <w:tab w:val="clear" w:pos="4536"/>
          <w:tab w:val="clear" w:pos="9072"/>
        </w:tabs>
      </w:pPr>
      <w:r>
        <w:rPr>
          <w:b/>
        </w:rPr>
        <w:t>Értékek</w:t>
      </w:r>
    </w:p>
    <w:p w14:paraId="6A37C795" w14:textId="77777777" w:rsidR="00BA1B37" w:rsidRDefault="00BA1B37">
      <w:pPr>
        <w:ind w:left="426"/>
      </w:pPr>
      <w:r>
        <w:t xml:space="preserve">A MAB testületének és titkárságának minden tagja (a továbbiakban Tag) a MAB számára végzett munkája során a következő </w:t>
      </w:r>
      <w:r>
        <w:rPr>
          <w:b/>
        </w:rPr>
        <w:t>értékeket</w:t>
      </w:r>
      <w:r>
        <w:t xml:space="preserve"> követi kitüntetett figyelemmel: </w:t>
      </w:r>
    </w:p>
    <w:p w14:paraId="78F0827B" w14:textId="77777777" w:rsidR="00BA1B37" w:rsidRDefault="00BA1B37">
      <w:pPr>
        <w:pStyle w:val="lfej"/>
        <w:numPr>
          <w:ilvl w:val="0"/>
          <w:numId w:val="5"/>
        </w:numPr>
        <w:tabs>
          <w:tab w:val="clear" w:pos="360"/>
          <w:tab w:val="clear" w:pos="4536"/>
          <w:tab w:val="clear" w:pos="9072"/>
        </w:tabs>
        <w:ind w:left="1560"/>
      </w:pPr>
      <w:r>
        <w:t>törvényesség</w:t>
      </w:r>
    </w:p>
    <w:p w14:paraId="3DCAA357" w14:textId="77777777" w:rsidR="00BA1B37" w:rsidRDefault="00BA1B37">
      <w:pPr>
        <w:numPr>
          <w:ilvl w:val="0"/>
          <w:numId w:val="3"/>
        </w:numPr>
        <w:tabs>
          <w:tab w:val="clear" w:pos="360"/>
        </w:tabs>
        <w:ind w:left="1560"/>
      </w:pPr>
      <w:r>
        <w:t>függetlenség,</w:t>
      </w:r>
    </w:p>
    <w:p w14:paraId="21E927C9" w14:textId="77777777" w:rsidR="00BA1B37" w:rsidRDefault="00BA1B37">
      <w:pPr>
        <w:numPr>
          <w:ilvl w:val="0"/>
          <w:numId w:val="3"/>
        </w:numPr>
        <w:tabs>
          <w:tab w:val="clear" w:pos="360"/>
        </w:tabs>
        <w:ind w:left="1560"/>
      </w:pPr>
      <w:r>
        <w:t>objektivitás,</w:t>
      </w:r>
    </w:p>
    <w:p w14:paraId="08A80212" w14:textId="77777777" w:rsidR="00BA1B37" w:rsidRDefault="00BA1B37">
      <w:pPr>
        <w:numPr>
          <w:ilvl w:val="0"/>
          <w:numId w:val="3"/>
        </w:numPr>
        <w:tabs>
          <w:tab w:val="clear" w:pos="360"/>
        </w:tabs>
        <w:ind w:left="1560"/>
      </w:pPr>
      <w:r>
        <w:t>pártatlanság,</w:t>
      </w:r>
    </w:p>
    <w:p w14:paraId="30641AEC" w14:textId="77777777" w:rsidR="00BA1B37" w:rsidRDefault="00BA1B37">
      <w:pPr>
        <w:numPr>
          <w:ilvl w:val="0"/>
          <w:numId w:val="3"/>
        </w:numPr>
        <w:tabs>
          <w:tab w:val="clear" w:pos="360"/>
        </w:tabs>
        <w:ind w:left="1560"/>
      </w:pPr>
      <w:r>
        <w:t>átláthatóság,</w:t>
      </w:r>
    </w:p>
    <w:p w14:paraId="0B6993EC" w14:textId="77777777" w:rsidR="00BA1B37" w:rsidRDefault="00BA1B37">
      <w:pPr>
        <w:numPr>
          <w:ilvl w:val="0"/>
          <w:numId w:val="3"/>
        </w:numPr>
        <w:tabs>
          <w:tab w:val="clear" w:pos="360"/>
        </w:tabs>
        <w:ind w:left="1560"/>
      </w:pPr>
      <w:r>
        <w:t>számonkérhetőség (egyéni felelősség),</w:t>
      </w:r>
    </w:p>
    <w:p w14:paraId="6C5C8372" w14:textId="77777777" w:rsidR="00BA1B37" w:rsidRDefault="00BA1B37">
      <w:pPr>
        <w:numPr>
          <w:ilvl w:val="0"/>
          <w:numId w:val="3"/>
        </w:numPr>
        <w:tabs>
          <w:tab w:val="clear" w:pos="360"/>
        </w:tabs>
        <w:ind w:left="1560"/>
      </w:pPr>
      <w:r>
        <w:t>felkészültség és szakmai szigor,</w:t>
      </w:r>
    </w:p>
    <w:p w14:paraId="342BADE4" w14:textId="77777777" w:rsidR="00BA1B37" w:rsidRDefault="00BA1B37">
      <w:pPr>
        <w:numPr>
          <w:ilvl w:val="0"/>
          <w:numId w:val="3"/>
        </w:numPr>
        <w:tabs>
          <w:tab w:val="clear" w:pos="360"/>
        </w:tabs>
        <w:ind w:left="1560"/>
      </w:pPr>
      <w:r>
        <w:t>innovációra való nyitottság,</w:t>
      </w:r>
    </w:p>
    <w:p w14:paraId="0ABAD8E0" w14:textId="77777777" w:rsidR="00BA1B37" w:rsidRDefault="00BA1B37">
      <w:pPr>
        <w:numPr>
          <w:ilvl w:val="0"/>
          <w:numId w:val="3"/>
        </w:numPr>
        <w:tabs>
          <w:tab w:val="clear" w:pos="360"/>
        </w:tabs>
        <w:ind w:left="1560"/>
      </w:pPr>
      <w:r>
        <w:t>az érintettek szempontjainak harmonizációja.</w:t>
      </w:r>
    </w:p>
    <w:p w14:paraId="3D1EC312" w14:textId="77777777" w:rsidR="00BA1B37" w:rsidRDefault="00BA1B37"/>
    <w:p w14:paraId="602E5E22" w14:textId="77777777" w:rsidR="00BA1B37" w:rsidRDefault="00BA1B37">
      <w:pPr>
        <w:ind w:left="426"/>
      </w:pPr>
      <w:r>
        <w:t>A fenti értékek iránti elkötelezettség részletesebben kifejtve a következőket jelenti.</w:t>
      </w:r>
    </w:p>
    <w:p w14:paraId="6DDE1AF6" w14:textId="77777777" w:rsidR="00BA1B37" w:rsidRDefault="00BA1B37"/>
    <w:p w14:paraId="7CBD3CAF" w14:textId="77777777" w:rsidR="00BA1B37" w:rsidRDefault="00BA1B37">
      <w:pPr>
        <w:ind w:left="426"/>
      </w:pPr>
      <w:r>
        <w:t>A MAB számára végzett munkája során a Tag:</w:t>
      </w:r>
    </w:p>
    <w:p w14:paraId="02CE0661" w14:textId="77777777" w:rsidR="00BA1B37" w:rsidRDefault="00BA1B37"/>
    <w:p w14:paraId="34D77402" w14:textId="77777777" w:rsidR="00BA1B37" w:rsidRDefault="00BA1B37">
      <w:pPr>
        <w:pStyle w:val="Szvegtrzsbehzssal"/>
        <w:numPr>
          <w:ilvl w:val="1"/>
          <w:numId w:val="1"/>
        </w:numPr>
        <w:tabs>
          <w:tab w:val="clear" w:pos="792"/>
          <w:tab w:val="num" w:pos="993"/>
        </w:tabs>
        <w:ind w:left="993" w:hanging="633"/>
      </w:pPr>
      <w:r>
        <w:t xml:space="preserve">A legmesszebbmenőkig figyelembe veszi és maradéktalanul betartja a vonatkozó hatályos </w:t>
      </w:r>
      <w:r>
        <w:rPr>
          <w:b/>
        </w:rPr>
        <w:t>törvényeket és egyéb jogszabályokat</w:t>
      </w:r>
      <w:r>
        <w:t>, különös tekintettel a Felsőoktatási törvényre és a MAB-ról szóló kormányrendeletre.</w:t>
      </w:r>
    </w:p>
    <w:p w14:paraId="488A301E" w14:textId="77777777" w:rsidR="00BA1B37" w:rsidRDefault="00BA1B37">
      <w:pPr>
        <w:pStyle w:val="Szvegtrzsbehzssal"/>
      </w:pPr>
    </w:p>
    <w:p w14:paraId="7864D300" w14:textId="77777777" w:rsidR="00BA1B37" w:rsidRDefault="00BA1B37">
      <w:pPr>
        <w:pStyle w:val="Szvegtrzsbehzssal"/>
      </w:pPr>
    </w:p>
    <w:p w14:paraId="4EFF9A9D" w14:textId="77777777" w:rsidR="00BA1B37" w:rsidRDefault="00BA1B37">
      <w:pPr>
        <w:pStyle w:val="Szvegtrzsbehzssal"/>
        <w:numPr>
          <w:ilvl w:val="1"/>
          <w:numId w:val="1"/>
        </w:numPr>
        <w:tabs>
          <w:tab w:val="clear" w:pos="792"/>
          <w:tab w:val="num" w:pos="993"/>
        </w:tabs>
        <w:ind w:left="993" w:hanging="633"/>
      </w:pPr>
      <w:r>
        <w:lastRenderedPageBreak/>
        <w:t xml:space="preserve">Nem „képviseli” munkaadó szervezetét. Ha tehát a Tag egy felsőoktatási intézmény vagy más szervezet alkalmazottja, e munkavállalói viszonyától (viszonyaitól) a lehető legteljesebb mértékben elvonatkoztat, állásfoglalásait minden ilyen nemű elkötelezettségétől </w:t>
      </w:r>
      <w:r>
        <w:rPr>
          <w:b/>
        </w:rPr>
        <w:t>függetlenül</w:t>
      </w:r>
      <w:r>
        <w:t xml:space="preserve"> hozza meg.</w:t>
      </w:r>
    </w:p>
    <w:p w14:paraId="3EDB5D5D" w14:textId="77777777" w:rsidR="00BA1B37" w:rsidRDefault="00BA1B37">
      <w:pPr>
        <w:pStyle w:val="Szvegtrzsbehzssal"/>
      </w:pPr>
    </w:p>
    <w:p w14:paraId="00999AF2" w14:textId="77777777" w:rsidR="00BA1B37" w:rsidRDefault="00BA1B37">
      <w:pPr>
        <w:pStyle w:val="Szvegtrzsbehzssal"/>
      </w:pPr>
    </w:p>
    <w:p w14:paraId="1FD9E772" w14:textId="77777777" w:rsidR="00BA1B37" w:rsidRDefault="00BA1B37">
      <w:pPr>
        <w:pStyle w:val="Szvegtrzsbehzssal"/>
        <w:numPr>
          <w:ilvl w:val="1"/>
          <w:numId w:val="1"/>
        </w:numPr>
        <w:tabs>
          <w:tab w:val="clear" w:pos="792"/>
          <w:tab w:val="num" w:pos="993"/>
        </w:tabs>
        <w:ind w:left="993" w:hanging="633"/>
      </w:pPr>
      <w:r>
        <w:t xml:space="preserve">Állásfoglalásaiban, véleményében </w:t>
      </w:r>
      <w:r>
        <w:rPr>
          <w:b/>
        </w:rPr>
        <w:t>objektivitásra</w:t>
      </w:r>
      <w:r>
        <w:t xml:space="preserve"> törekszik, azaz a rendelkezésére álló tények és adatok, s a tudomására jutott pontos információk alapján mond véleményt és dönt. Állást továbbá csak akkor foglal, ha az ehhez szükséges tények, adatok és információk a rendelkezésére állnak.</w:t>
      </w:r>
    </w:p>
    <w:p w14:paraId="0590B65E" w14:textId="77777777" w:rsidR="00BA1B37" w:rsidRDefault="00BA1B37">
      <w:pPr>
        <w:pStyle w:val="Szvegtrzsbehzssal"/>
      </w:pPr>
    </w:p>
    <w:p w14:paraId="1BB0EABC" w14:textId="77777777" w:rsidR="00BA1B37" w:rsidRDefault="00BA1B37">
      <w:pPr>
        <w:pStyle w:val="Szvegtrzsbehzssal"/>
      </w:pPr>
    </w:p>
    <w:p w14:paraId="6D2A016D" w14:textId="77777777" w:rsidR="00BA1B37" w:rsidRDefault="00BA1B37">
      <w:pPr>
        <w:pStyle w:val="Szvegtrzsbehzssal"/>
        <w:numPr>
          <w:ilvl w:val="1"/>
          <w:numId w:val="1"/>
        </w:numPr>
        <w:tabs>
          <w:tab w:val="clear" w:pos="792"/>
          <w:tab w:val="num" w:pos="993"/>
        </w:tabs>
        <w:ind w:left="993" w:hanging="633"/>
      </w:pPr>
      <w:r>
        <w:t xml:space="preserve">Állásfoglalásaiban, véleményében </w:t>
      </w:r>
      <w:r>
        <w:rPr>
          <w:b/>
        </w:rPr>
        <w:t>pártatlan</w:t>
      </w:r>
      <w:r>
        <w:t>, semleges, egyik felsőoktatási intézmény vagy más érintett szervezet vagy személy irányában sem elfogult, azaz sem pozitív, sem negatív irányban nem diszkriminál, nem részrehajló.</w:t>
      </w:r>
    </w:p>
    <w:p w14:paraId="7F85B3F5" w14:textId="77777777" w:rsidR="00BA1B37" w:rsidRDefault="00BA1B37">
      <w:pPr>
        <w:pStyle w:val="Szvegtrzsbehzssal"/>
      </w:pPr>
    </w:p>
    <w:p w14:paraId="4755C241" w14:textId="77777777" w:rsidR="00BA1B37" w:rsidRDefault="00BA1B37">
      <w:pPr>
        <w:pStyle w:val="Szvegtrzsbehzssal"/>
      </w:pPr>
    </w:p>
    <w:p w14:paraId="400A0204" w14:textId="77777777" w:rsidR="00BA1B37" w:rsidRDefault="00BA1B37">
      <w:pPr>
        <w:pStyle w:val="Szvegtrzsbehzssal"/>
        <w:numPr>
          <w:ilvl w:val="1"/>
          <w:numId w:val="1"/>
        </w:numPr>
        <w:tabs>
          <w:tab w:val="clear" w:pos="792"/>
          <w:tab w:val="num" w:pos="993"/>
        </w:tabs>
        <w:ind w:left="993" w:hanging="633"/>
      </w:pPr>
      <w:r>
        <w:t xml:space="preserve">Maradéktalan </w:t>
      </w:r>
      <w:r>
        <w:rPr>
          <w:b/>
        </w:rPr>
        <w:t>átláthatóságra</w:t>
      </w:r>
      <w:r>
        <w:t xml:space="preserve"> törekszik, azaz munkáját a mindenkor érvényes Szervezeti és Működési Szabályzat, a vonatkozó eljárási szabályok és rendek, a szakmai alapkövetelmények és részletes irányelvek, valamint a véleményezési elvek és egyéb, a MAB működésére vonatkozó további belső szabályok, határozatok alapján végzi. Állásfoglalását mindenkor </w:t>
      </w:r>
      <w:r>
        <w:rPr>
          <w:b/>
        </w:rPr>
        <w:t>indokolni tudja</w:t>
      </w:r>
      <w:r>
        <w:t>.</w:t>
      </w:r>
    </w:p>
    <w:p w14:paraId="5AFC3B74" w14:textId="77777777" w:rsidR="00BA1B37" w:rsidRDefault="00BA1B37">
      <w:pPr>
        <w:pStyle w:val="Szvegtrzsbehzssal"/>
      </w:pPr>
    </w:p>
    <w:p w14:paraId="1981AF7A" w14:textId="77777777" w:rsidR="00BA1B37" w:rsidRDefault="00BA1B37">
      <w:pPr>
        <w:pStyle w:val="Szvegtrzsbehzssal"/>
      </w:pPr>
    </w:p>
    <w:p w14:paraId="1F35A919" w14:textId="77777777" w:rsidR="00BA1B37" w:rsidRDefault="00BA1B37">
      <w:pPr>
        <w:pStyle w:val="Szvegtrzsbehzssal"/>
        <w:numPr>
          <w:ilvl w:val="1"/>
          <w:numId w:val="1"/>
        </w:numPr>
        <w:tabs>
          <w:tab w:val="clear" w:pos="792"/>
          <w:tab w:val="num" w:pos="993"/>
        </w:tabs>
        <w:ind w:left="993" w:hanging="633"/>
      </w:pPr>
      <w:r>
        <w:t xml:space="preserve">Állásfoglalásaiért, megnyilatkozásaiért </w:t>
      </w:r>
      <w:r>
        <w:rPr>
          <w:b/>
        </w:rPr>
        <w:t>egyéni felelősséggel</w:t>
      </w:r>
      <w:r>
        <w:t xml:space="preserve"> tartozik, azokról a vonatkozó jogszabályoknak, a MAB belső szabályainak és a jelen Etikai Kódexben lefektetett szabályoknak való megfelelőség tekintetében </w:t>
      </w:r>
      <w:r>
        <w:rPr>
          <w:b/>
        </w:rPr>
        <w:t>számot tud adni</w:t>
      </w:r>
      <w:r>
        <w:t>.</w:t>
      </w:r>
    </w:p>
    <w:p w14:paraId="68A4EC63" w14:textId="77777777" w:rsidR="00BA1B37" w:rsidRDefault="00BA1B37">
      <w:pPr>
        <w:pStyle w:val="Szvegtrzsbehzssal"/>
        <w:ind w:left="0" w:firstLine="0"/>
      </w:pPr>
    </w:p>
    <w:p w14:paraId="1A0D76AC" w14:textId="77777777" w:rsidR="00BA1B37" w:rsidRDefault="00BA1B37">
      <w:pPr>
        <w:pStyle w:val="Szvegtrzsbehzssal"/>
        <w:ind w:left="0" w:firstLine="0"/>
      </w:pPr>
    </w:p>
    <w:p w14:paraId="118E5CC2" w14:textId="77777777" w:rsidR="00BA1B37" w:rsidRDefault="00BA1B37">
      <w:pPr>
        <w:pStyle w:val="Szvegtrzsbehzssal"/>
        <w:numPr>
          <w:ilvl w:val="1"/>
          <w:numId w:val="1"/>
        </w:numPr>
        <w:tabs>
          <w:tab w:val="clear" w:pos="792"/>
          <w:tab w:val="num" w:pos="993"/>
        </w:tabs>
        <w:ind w:left="993" w:hanging="633"/>
      </w:pPr>
      <w:r>
        <w:t xml:space="preserve">Szigorúan </w:t>
      </w:r>
      <w:r>
        <w:rPr>
          <w:b/>
        </w:rPr>
        <w:t>szakmai szempontok</w:t>
      </w:r>
      <w:r>
        <w:t xml:space="preserve"> alapján ad szakvéleményt, foglal állást. A MAB-tagság kétségtelen szakmai tekintélyt jelent. E tekintély elismert forrása azonban nem a döntési pozíció, a hatalom, hanem a </w:t>
      </w:r>
      <w:r>
        <w:rPr>
          <w:b/>
        </w:rPr>
        <w:t>szakmai hozzáértés</w:t>
      </w:r>
      <w:r>
        <w:t xml:space="preserve"> kell legyen. Egy-egy adott tudományág illetve azon belüli részterület, vagy – nem tudományos pályán dolgozó Tag esetében – egyéb szakma eredményes művelése mellett e szakmai felkészültségnek ki kell terjednie a </w:t>
      </w:r>
      <w:r>
        <w:rPr>
          <w:b/>
        </w:rPr>
        <w:t>(felsőoktatási) minőségbiztosítás és minőségértékelés</w:t>
      </w:r>
      <w:r>
        <w:t xml:space="preserve"> kérdéskörének ismeretére is. Magától értetődő továbbá, hogy a Tagnak ismernie kell a hatáskörébe eső ügyeket, az azokra vonatkozó akkreditációs anyagokat.</w:t>
      </w:r>
    </w:p>
    <w:p w14:paraId="1D8941C4" w14:textId="77777777" w:rsidR="00BA1B37" w:rsidRDefault="00BA1B37">
      <w:pPr>
        <w:pStyle w:val="Szvegtrzsbehzssal"/>
      </w:pPr>
    </w:p>
    <w:p w14:paraId="35ACB407" w14:textId="77777777" w:rsidR="00BA1B37" w:rsidRDefault="00BA1B37">
      <w:pPr>
        <w:pStyle w:val="Szvegtrzsbehzssal"/>
      </w:pPr>
    </w:p>
    <w:p w14:paraId="3D833062" w14:textId="77777777" w:rsidR="00BA1B37" w:rsidRDefault="00BA1B37">
      <w:pPr>
        <w:pStyle w:val="Szvegtrzsbehzssal"/>
        <w:numPr>
          <w:ilvl w:val="1"/>
          <w:numId w:val="1"/>
        </w:numPr>
        <w:tabs>
          <w:tab w:val="clear" w:pos="792"/>
          <w:tab w:val="num" w:pos="993"/>
        </w:tabs>
        <w:ind w:left="993" w:hanging="633"/>
      </w:pPr>
      <w:r>
        <w:t xml:space="preserve">A társadalmi, felhasználói és regionális igények változásait követő, azokra reagáló </w:t>
      </w:r>
      <w:r>
        <w:rPr>
          <w:b/>
        </w:rPr>
        <w:t>új kezdeményezések iránt fogékony</w:t>
      </w:r>
      <w:r>
        <w:t xml:space="preserve">. (E fogékonyság természetesen nem jelenthet minőségi engedékenységet.) Lehetőség szerint segíti a szakok és intézmények közötti </w:t>
      </w:r>
      <w:r>
        <w:rPr>
          <w:b/>
        </w:rPr>
        <w:t>egészséges verseny</w:t>
      </w:r>
      <w:r>
        <w:t xml:space="preserve"> kialakulását.</w:t>
      </w:r>
    </w:p>
    <w:p w14:paraId="6CE3F026" w14:textId="77777777" w:rsidR="00BA1B37" w:rsidRDefault="00BA1B37">
      <w:pPr>
        <w:pStyle w:val="Szvegtrzsbehzssal"/>
      </w:pPr>
    </w:p>
    <w:p w14:paraId="7F80C5C1" w14:textId="77777777" w:rsidR="00BA1B37" w:rsidRDefault="00BA1B37">
      <w:pPr>
        <w:pStyle w:val="Szvegtrzsbehzssal"/>
      </w:pPr>
    </w:p>
    <w:p w14:paraId="0A2F894F" w14:textId="77777777" w:rsidR="00BA1B37" w:rsidRDefault="00BA1B37">
      <w:pPr>
        <w:pStyle w:val="Szvegtrzsbehzssal"/>
        <w:numPr>
          <w:ilvl w:val="1"/>
          <w:numId w:val="1"/>
        </w:numPr>
        <w:tabs>
          <w:tab w:val="clear" w:pos="792"/>
          <w:tab w:val="num" w:pos="993"/>
        </w:tabs>
        <w:ind w:left="993" w:hanging="633"/>
      </w:pPr>
      <w:r>
        <w:lastRenderedPageBreak/>
        <w:t xml:space="preserve">Állásfoglalásaiban az érintettek (felsőoktatási intézmények, hallgatók, munkaadók, stb.) alkalmasint különböző szempontjait megfelelően mérlegeli, azok lehetőség szerinti </w:t>
      </w:r>
      <w:r>
        <w:rPr>
          <w:b/>
        </w:rPr>
        <w:t>harmonizációjára</w:t>
      </w:r>
      <w:r>
        <w:t xml:space="preserve"> törekszik.</w:t>
      </w:r>
    </w:p>
    <w:p w14:paraId="5CB3497B" w14:textId="77777777" w:rsidR="00BA1B37" w:rsidRDefault="00BA1B37">
      <w:pPr>
        <w:pStyle w:val="Szvegtrzsbehzssal"/>
      </w:pPr>
    </w:p>
    <w:p w14:paraId="6516CCD9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36BD8084" w14:textId="77777777" w:rsidR="00BA1B37" w:rsidRDefault="00BA1B37">
      <w:pPr>
        <w:keepNext/>
        <w:numPr>
          <w:ilvl w:val="0"/>
          <w:numId w:val="1"/>
        </w:numPr>
        <w:ind w:left="357" w:hanging="357"/>
      </w:pPr>
      <w:r>
        <w:rPr>
          <w:b/>
        </w:rPr>
        <w:t>Összeférhetetlenség</w:t>
      </w:r>
    </w:p>
    <w:p w14:paraId="1EF82012" w14:textId="77777777" w:rsidR="00BA1B37" w:rsidRDefault="00BA1B37">
      <w:pPr>
        <w:ind w:left="426"/>
      </w:pPr>
      <w:r>
        <w:t>A MAB és bizottságainak tagjaira vonatkozó összeférhetetlenségi szabályokat a MAB-ról szóló kormányrendelet rögzíti. Ezen túlmenően</w:t>
      </w:r>
      <w:r>
        <w:rPr>
          <w:strike/>
        </w:rPr>
        <w:t xml:space="preserve"> </w:t>
      </w:r>
      <w:r>
        <w:t>az alábbi szabályok érvényesek:</w:t>
      </w:r>
    </w:p>
    <w:p w14:paraId="2FF31D65" w14:textId="77777777" w:rsidR="00BA1B37" w:rsidRDefault="00BA1B37">
      <w:pPr>
        <w:ind w:left="426"/>
      </w:pPr>
    </w:p>
    <w:p w14:paraId="1CBB70C7" w14:textId="77777777" w:rsidR="00BA1B37" w:rsidRDefault="00BA1B37">
      <w:pPr>
        <w:pStyle w:val="Szvegtrzsbehzssal2"/>
      </w:pPr>
      <w:r>
        <w:t xml:space="preserve">Valamely többkarú intézménnyel közalkalmazotti/szerződéses munkaviszonyban álló MAB szakértő (plénumtagtól </w:t>
      </w:r>
      <w:r>
        <w:sym w:font="Symbol" w:char="F0DE"/>
      </w:r>
      <w:r>
        <w:t>bírálóig bezárólag)</w:t>
      </w:r>
    </w:p>
    <w:p w14:paraId="5DE247E6" w14:textId="77777777" w:rsidR="00BA1B37" w:rsidRDefault="00BA1B37">
      <w:pPr>
        <w:numPr>
          <w:ilvl w:val="0"/>
          <w:numId w:val="14"/>
        </w:numPr>
        <w:tabs>
          <w:tab w:val="clear" w:pos="360"/>
          <w:tab w:val="num" w:pos="1068"/>
        </w:tabs>
        <w:ind w:left="1068"/>
      </w:pPr>
      <w:r>
        <w:t>személyi ügyek esetén összeférhetetlennek tekintendő az intézmény bármely karát érintő ügyben;</w:t>
      </w:r>
    </w:p>
    <w:p w14:paraId="4CED38F1" w14:textId="77777777" w:rsidR="00BA1B37" w:rsidRDefault="00BA1B37">
      <w:pPr>
        <w:numPr>
          <w:ilvl w:val="0"/>
          <w:numId w:val="14"/>
        </w:numPr>
        <w:tabs>
          <w:tab w:val="clear" w:pos="360"/>
          <w:tab w:val="num" w:pos="1068"/>
        </w:tabs>
        <w:ind w:left="1068"/>
      </w:pPr>
      <w:r>
        <w:t>szakmai ügyek esetén csak azzal a karral tekintendő összeférhetetlennek, amely karon a tényleges munkavégzést folytatja.</w:t>
      </w:r>
    </w:p>
    <w:p w14:paraId="43AE4F17" w14:textId="77777777" w:rsidR="00BA1B37" w:rsidRDefault="00BA1B37">
      <w:pPr>
        <w:ind w:left="426"/>
      </w:pPr>
    </w:p>
    <w:p w14:paraId="111D0185" w14:textId="77777777" w:rsidR="00BA1B37" w:rsidRDefault="00BA1B37">
      <w:pPr>
        <w:pStyle w:val="Szvegtrzsbehzssal2"/>
      </w:pPr>
      <w:r>
        <w:t>Adott intézményhez és adott tudományterülethez tartozó, döntést igénylő ügy bizottsági-, illetve plénum-ülésen való vitáján és a szavazáson ne legyen jelen az adott intézménnyel munkaviszonyban álló, illetve 3 éven belül munkaviszonyban állt, az adott tudományterületen működő bizottsági-, ill. plénumtag. A titkársági referensnek feladata az ülést vezető figyelmét az ülés előtt felhívni arra, ha egy ügyben összeférhetetlenség áll fenn.</w:t>
      </w:r>
    </w:p>
    <w:p w14:paraId="20D00ED4" w14:textId="77777777" w:rsidR="00BA1B37" w:rsidRDefault="00BA1B37">
      <w:pPr>
        <w:ind w:left="426"/>
      </w:pPr>
    </w:p>
    <w:p w14:paraId="68D5A7BD" w14:textId="77777777" w:rsidR="00BA1B37" w:rsidRDefault="00BA1B37">
      <w:pPr>
        <w:ind w:left="426"/>
      </w:pPr>
      <w:r>
        <w:t>Testületi (plénum, bizottságok) állásfoglaláshoz vagy döntéshez kötött, folyamatban lévő ügyekben a Tag tartózkodjon a véleménye előzetes kinyilvánításától. Az egyetemi, főiskolai tanári munkakörre benyújtott pályázatokról a Tag – a titkos szavazás esetét kivéve – előzetesen nem foglalhat állást.</w:t>
      </w:r>
    </w:p>
    <w:p w14:paraId="6790FDDC" w14:textId="77777777" w:rsidR="00BA1B37" w:rsidRDefault="00BA1B37"/>
    <w:p w14:paraId="4067D8F5" w14:textId="77777777" w:rsidR="00BA1B37" w:rsidRDefault="00BA1B37">
      <w:pPr>
        <w:ind w:left="426"/>
      </w:pPr>
      <w:r>
        <w:t>A további összeférhetetlenségi szabályok az egyes eljárási rendek előírásai szerint alkalmazandók.</w:t>
      </w:r>
    </w:p>
    <w:p w14:paraId="6AFB0864" w14:textId="77777777" w:rsidR="00BA1B37" w:rsidRDefault="00BA1B37">
      <w:pPr>
        <w:pStyle w:val="Szvegtrzs"/>
        <w:shd w:val="clear" w:color="auto" w:fill="FFFFFF"/>
      </w:pPr>
    </w:p>
    <w:p w14:paraId="3B7DD8EB" w14:textId="77777777" w:rsidR="00BA1B37" w:rsidRDefault="00BA1B37"/>
    <w:p w14:paraId="65F77B1F" w14:textId="77777777" w:rsidR="00BA1B37" w:rsidRDefault="00BA1B37">
      <w:pPr>
        <w:keepNext/>
        <w:numPr>
          <w:ilvl w:val="0"/>
          <w:numId w:val="1"/>
        </w:numPr>
        <w:ind w:left="357" w:hanging="357"/>
      </w:pPr>
      <w:r>
        <w:rPr>
          <w:b/>
        </w:rPr>
        <w:t>Érdekellentét</w:t>
      </w:r>
    </w:p>
    <w:p w14:paraId="623B469A" w14:textId="77777777" w:rsidR="00BA1B37" w:rsidRDefault="00BA1B37">
      <w:pPr>
        <w:ind w:left="426"/>
      </w:pPr>
      <w:r>
        <w:t xml:space="preserve">Minden olyan ügyben, melyben már meglévő más elkötelezettsége(i) miatt </w:t>
      </w:r>
      <w:r>
        <w:rPr>
          <w:b/>
        </w:rPr>
        <w:t xml:space="preserve">érdekellentéte </w:t>
      </w:r>
      <w:r>
        <w:t>keletkezik vagy fennáll, erről a Tag tájékoztatja a MAB-ot, az adott ügyben tartózkodik a véleménynyilvánítástól és az adott ügyre vonatkozó eljárásban semmilyen formában nem vesz részt.</w:t>
      </w:r>
    </w:p>
    <w:p w14:paraId="171062D5" w14:textId="77777777" w:rsidR="00BA1B37" w:rsidRDefault="00BA1B37">
      <w:pPr>
        <w:keepNext/>
      </w:pPr>
    </w:p>
    <w:p w14:paraId="6AAC3388" w14:textId="77777777" w:rsidR="00BA1B37" w:rsidRDefault="00BA1B37">
      <w:pPr>
        <w:keepNext/>
      </w:pPr>
    </w:p>
    <w:p w14:paraId="6B41E469" w14:textId="77777777" w:rsidR="00BA1B37" w:rsidRDefault="00BA1B37">
      <w:pPr>
        <w:keepNext/>
        <w:numPr>
          <w:ilvl w:val="0"/>
          <w:numId w:val="1"/>
        </w:numPr>
        <w:ind w:left="357" w:hanging="357"/>
      </w:pPr>
      <w:r>
        <w:rPr>
          <w:b/>
        </w:rPr>
        <w:t>Haszonszerzés</w:t>
      </w:r>
    </w:p>
    <w:p w14:paraId="59E48196" w14:textId="77777777" w:rsidR="00BA1B37" w:rsidRDefault="00BA1B37">
      <w:pPr>
        <w:ind w:left="360"/>
      </w:pPr>
      <w:r>
        <w:t xml:space="preserve">Tagságát, a MAB-ban betöltött funkcióját semmilyen körülmények között nem használja személyes vagy intézményes </w:t>
      </w:r>
      <w:r>
        <w:rPr>
          <w:b/>
        </w:rPr>
        <w:t xml:space="preserve">anyagi haszon vagy egyéb előny </w:t>
      </w:r>
      <w:r>
        <w:t>szerzésére, az erre vonatkozó esetleges ajánlatokat visszautasítja.</w:t>
      </w:r>
    </w:p>
    <w:p w14:paraId="2E4C31A2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3C18DB09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2097B12D" w14:textId="77777777" w:rsidR="00BA1B37" w:rsidRDefault="00BA1B37">
      <w:pPr>
        <w:keepNext/>
        <w:numPr>
          <w:ilvl w:val="0"/>
          <w:numId w:val="1"/>
        </w:numPr>
        <w:ind w:left="357" w:hanging="357"/>
      </w:pPr>
      <w:r>
        <w:rPr>
          <w:b/>
        </w:rPr>
        <w:lastRenderedPageBreak/>
        <w:t>Bizalmasság</w:t>
      </w:r>
    </w:p>
    <w:p w14:paraId="7674DB12" w14:textId="77777777" w:rsidR="00BA1B37" w:rsidRDefault="00BA1B37">
      <w:pPr>
        <w:ind w:left="426"/>
      </w:pPr>
      <w:r>
        <w:t xml:space="preserve">A folyó ügyek állásáról külső (nem Tag) személynek vagy szervezetnek csak az adott ügyre vonatkozó hivatalos </w:t>
      </w:r>
      <w:r>
        <w:rPr>
          <w:b/>
        </w:rPr>
        <w:t>MAB állásfoglalás</w:t>
      </w:r>
      <w:r>
        <w:t xml:space="preserve"> (MAB-határozat, vagy, határozathoz nem vezető eljárás esetén, kollégiumi vagy elnökségi szintű állásfoglalás) </w:t>
      </w:r>
      <w:r>
        <w:rPr>
          <w:b/>
        </w:rPr>
        <w:t>elfogadása után ad információt</w:t>
      </w:r>
      <w:r>
        <w:t>, s akkor is csak a határozat, illetve állásfoglalás nyilvános részére vonatkozóan.</w:t>
      </w:r>
    </w:p>
    <w:p w14:paraId="7C052591" w14:textId="77777777" w:rsidR="00BA1B37" w:rsidRDefault="00BA1B37">
      <w:pPr>
        <w:rPr>
          <w:b/>
        </w:rPr>
      </w:pPr>
    </w:p>
    <w:p w14:paraId="6C7F1865" w14:textId="77777777" w:rsidR="00BA1B37" w:rsidRDefault="00BA1B37">
      <w:pPr>
        <w:rPr>
          <w:b/>
        </w:rPr>
      </w:pPr>
    </w:p>
    <w:p w14:paraId="62D7CA1C" w14:textId="77777777" w:rsidR="00BA1B37" w:rsidRDefault="00BA1B37">
      <w:pPr>
        <w:numPr>
          <w:ilvl w:val="0"/>
          <w:numId w:val="1"/>
        </w:numPr>
      </w:pPr>
      <w:r>
        <w:rPr>
          <w:b/>
        </w:rPr>
        <w:t>Szellemi szabadság</w:t>
      </w:r>
    </w:p>
    <w:p w14:paraId="0B7171E9" w14:textId="77777777" w:rsidR="00BA1B37" w:rsidRDefault="00BA1B37">
      <w:pPr>
        <w:ind w:left="426"/>
      </w:pPr>
      <w:r>
        <w:t xml:space="preserve">A </w:t>
      </w:r>
      <w:r>
        <w:rPr>
          <w:b/>
        </w:rPr>
        <w:t>szabad véleményformálás és –nyilvánítás</w:t>
      </w:r>
      <w:r>
        <w:t xml:space="preserve"> híve, azt tiszteletben tartja és bátorítja. Más Tagokat és a MAB elé kerülő ügyek érintettjeit álláspontjaik kialakításában a racionális érvelés eszközein túlmenően nem befolyásolja.</w:t>
      </w:r>
    </w:p>
    <w:p w14:paraId="1A2BB40A" w14:textId="77777777" w:rsidR="00BA1B37" w:rsidRDefault="00BA1B37"/>
    <w:p w14:paraId="19A6A68C" w14:textId="77777777" w:rsidR="00BA1B37" w:rsidRDefault="00BA1B37"/>
    <w:p w14:paraId="29500434" w14:textId="77777777" w:rsidR="00BA1B37" w:rsidRDefault="00BA1B37">
      <w:pPr>
        <w:keepNext/>
        <w:numPr>
          <w:ilvl w:val="0"/>
          <w:numId w:val="1"/>
        </w:numPr>
        <w:ind w:left="357" w:hanging="357"/>
      </w:pPr>
      <w:r>
        <w:rPr>
          <w:b/>
        </w:rPr>
        <w:t>Szellemi tulajdon</w:t>
      </w:r>
    </w:p>
    <w:p w14:paraId="7DBE1355" w14:textId="77777777" w:rsidR="00BA1B37" w:rsidRDefault="00BA1B37">
      <w:pPr>
        <w:ind w:left="426"/>
      </w:pPr>
      <w:r>
        <w:t xml:space="preserve">A legmesszebbmenőkig tiszteletben tartja mások szellemi tulajdonát. A MAB-hoz benyújtott pályázatok </w:t>
      </w:r>
      <w:r>
        <w:rPr>
          <w:b/>
        </w:rPr>
        <w:t>önálló szellemi termékek</w:t>
      </w:r>
      <w:r>
        <w:t>, azok egészükben és egyes elemeiket illetően is a benyújtó személyek és intézmények kizárólagos tulajdonát képezik.</w:t>
      </w:r>
    </w:p>
    <w:p w14:paraId="7FF898EA" w14:textId="77777777" w:rsidR="00BA1B37" w:rsidRDefault="00BA1B37"/>
    <w:p w14:paraId="7F0F3EB7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06E60079" w14:textId="77777777" w:rsidR="00BA1B37" w:rsidRDefault="00BA1B37">
      <w:pPr>
        <w:keepNext/>
        <w:numPr>
          <w:ilvl w:val="0"/>
          <w:numId w:val="1"/>
        </w:numPr>
        <w:ind w:left="357" w:hanging="357"/>
      </w:pPr>
      <w:r>
        <w:rPr>
          <w:b/>
        </w:rPr>
        <w:t>Szakmai fejlődés</w:t>
      </w:r>
    </w:p>
    <w:p w14:paraId="40ACDD86" w14:textId="77777777" w:rsidR="00BA1B37" w:rsidRDefault="00BA1B37">
      <w:pPr>
        <w:ind w:left="426"/>
      </w:pPr>
      <w:r>
        <w:t xml:space="preserve">A Tag felsőoktatási minőségbiztosítási és minőségértékelési szakmai felkészültségét </w:t>
      </w:r>
      <w:r>
        <w:rPr>
          <w:b/>
        </w:rPr>
        <w:t>folyamatosan tökéletesíti</w:t>
      </w:r>
      <w:r>
        <w:t>. Figyelemmel kíséri a terület hazai és külföldi fejleményeit. Ismereteit és tapasztalatait más Tagokkal és érdeklődő kollégákkal lehetősége szerint megosztja. Minden tőle telhetőt megtesz a felsőoktatási minőségkultúra</w:t>
      </w:r>
      <w:r>
        <w:rPr>
          <w:b/>
        </w:rPr>
        <w:t xml:space="preserve"> fejlődéséért</w:t>
      </w:r>
      <w:r>
        <w:t xml:space="preserve">, ismertségének és társadalmi </w:t>
      </w:r>
      <w:r>
        <w:rPr>
          <w:b/>
        </w:rPr>
        <w:t>elfogadottságának szélesedéséért</w:t>
      </w:r>
      <w:r>
        <w:t>, támogat minden olyan tevékenységet és rendezvényt, mely ezeket előmozdítja.</w:t>
      </w:r>
    </w:p>
    <w:p w14:paraId="42BB4707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25A0C038" w14:textId="77777777" w:rsidR="00BA1B37" w:rsidRDefault="00BA1B37"/>
    <w:p w14:paraId="22FAF4AB" w14:textId="77777777" w:rsidR="00BA1B37" w:rsidRDefault="00BA1B37">
      <w:pPr>
        <w:numPr>
          <w:ilvl w:val="0"/>
          <w:numId w:val="1"/>
        </w:numPr>
      </w:pPr>
      <w:r>
        <w:rPr>
          <w:b/>
        </w:rPr>
        <w:t>Munkaminőség</w:t>
      </w:r>
    </w:p>
    <w:p w14:paraId="1089132C" w14:textId="77777777" w:rsidR="00BA1B37" w:rsidRDefault="00BA1B37">
      <w:pPr>
        <w:ind w:left="360"/>
      </w:pPr>
      <w:r>
        <w:t xml:space="preserve">A MAB számára végzett munkájában </w:t>
      </w:r>
      <w:r>
        <w:rPr>
          <w:b/>
        </w:rPr>
        <w:t>kiválóságra</w:t>
      </w:r>
      <w:r>
        <w:t xml:space="preserve"> törekszik. Különösen ügyel az általa készített értékelések alaposságára, megbízhatóságára és kiegyensúlyozottságára, a bizottsági munka hatékonyságára, az állásfoglalások kellő megalapozottságára és indoklására, az eljárási rendekben rögzített határidők betartására.</w:t>
      </w:r>
    </w:p>
    <w:p w14:paraId="75B14AA9" w14:textId="77777777" w:rsidR="00BA1B37" w:rsidRDefault="00BA1B37"/>
    <w:p w14:paraId="2D8A20C5" w14:textId="77777777" w:rsidR="00BA1B37" w:rsidRDefault="00BA1B37"/>
    <w:p w14:paraId="2717E449" w14:textId="77777777" w:rsidR="00BA1B37" w:rsidRDefault="00BA1B37">
      <w:pPr>
        <w:numPr>
          <w:ilvl w:val="0"/>
          <w:numId w:val="1"/>
        </w:numPr>
      </w:pPr>
      <w:r>
        <w:rPr>
          <w:b/>
        </w:rPr>
        <w:t>Együttműködés</w:t>
      </w:r>
    </w:p>
    <w:p w14:paraId="5A9D7945" w14:textId="77777777" w:rsidR="00BA1B37" w:rsidRDefault="00BA1B37">
      <w:pPr>
        <w:ind w:left="426"/>
      </w:pPr>
      <w:r>
        <w:t xml:space="preserve">Más Tagok mint kollégák véleményét tiszteletben tartja és álláspontja kialakításánál figyelembe veszi, velük a közös célok megvalósítása érdekében </w:t>
      </w:r>
      <w:r>
        <w:rPr>
          <w:b/>
        </w:rPr>
        <w:t>együttműködik</w:t>
      </w:r>
      <w:r>
        <w:t>.</w:t>
      </w:r>
    </w:p>
    <w:p w14:paraId="6642211C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11FD0F3C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343E1F07" w14:textId="77777777" w:rsidR="00BA1B37" w:rsidRDefault="00BA1B37">
      <w:pPr>
        <w:numPr>
          <w:ilvl w:val="0"/>
          <w:numId w:val="1"/>
        </w:numPr>
      </w:pPr>
      <w:r>
        <w:rPr>
          <w:b/>
        </w:rPr>
        <w:t>Bizalom</w:t>
      </w:r>
    </w:p>
    <w:p w14:paraId="4E392C27" w14:textId="77777777" w:rsidR="00BA1B37" w:rsidRDefault="00BA1B37">
      <w:pPr>
        <w:ind w:left="426"/>
      </w:pPr>
      <w:r>
        <w:t>Az érintettek megelégedettségének egyik záloga és egyben kifejeződése a MAB tevékenysége iránt tanúsított bizalom. A Tag ezért minden tőle telhetőt megtesz e bizalom kialakítása és folyamatos fenntartása érdekében. A fenti értékek, alapelvek és szabályok követésével a Tag e bizalom erősödéséhez járulhat hozzá.</w:t>
      </w:r>
    </w:p>
    <w:p w14:paraId="025FC17E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2E8EB2C6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336D3205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7F24BD5C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3F816091" w14:textId="77777777" w:rsidR="00BA1B37" w:rsidRDefault="00BA1B37">
      <w:pPr>
        <w:pStyle w:val="lfej"/>
        <w:tabs>
          <w:tab w:val="clear" w:pos="4536"/>
          <w:tab w:val="clear" w:pos="9072"/>
        </w:tabs>
        <w:rPr>
          <w:b/>
        </w:rPr>
      </w:pPr>
      <w:r>
        <w:rPr>
          <w:b/>
        </w:rPr>
        <w:t>II. ETIKAI VÉTSÉG</w:t>
      </w:r>
    </w:p>
    <w:p w14:paraId="6162751D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1933BC98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70D6CBA3" w14:textId="77777777" w:rsidR="00BA1B37" w:rsidRDefault="00BA1B37">
      <w:pPr>
        <w:pStyle w:val="lfej"/>
        <w:tabs>
          <w:tab w:val="clear" w:pos="4536"/>
          <w:tab w:val="clear" w:pos="9072"/>
        </w:tabs>
      </w:pPr>
      <w:r>
        <w:t>Etikai vétséget követ el az a Tag, aki:</w:t>
      </w:r>
    </w:p>
    <w:p w14:paraId="7B4F23CC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261D456B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4BFCDA89" w14:textId="77777777" w:rsidR="00BA1B37" w:rsidRDefault="00BA1B37">
      <w:pPr>
        <w:pStyle w:val="lfej"/>
        <w:numPr>
          <w:ilvl w:val="0"/>
          <w:numId w:val="7"/>
        </w:numPr>
        <w:tabs>
          <w:tab w:val="clear" w:pos="4536"/>
          <w:tab w:val="clear" w:pos="9072"/>
        </w:tabs>
      </w:pPr>
      <w:r>
        <w:t>Nem tartja be a MAB-ot érintő hatályos törvényeket és egyéb jogszabályokat.</w:t>
      </w:r>
    </w:p>
    <w:p w14:paraId="3E588A3E" w14:textId="77777777" w:rsidR="00BA1B37" w:rsidRDefault="00BA1B37">
      <w:pPr>
        <w:pStyle w:val="lfej"/>
        <w:tabs>
          <w:tab w:val="clear" w:pos="4536"/>
          <w:tab w:val="clear" w:pos="9072"/>
        </w:tabs>
        <w:ind w:left="360"/>
      </w:pPr>
      <w:r>
        <w:t>(Ez természetesen jogszabálysértés is!)</w:t>
      </w:r>
    </w:p>
    <w:p w14:paraId="65BC4982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035CEA08" w14:textId="77777777" w:rsidR="00BA1B37" w:rsidRDefault="00BA1B37">
      <w:pPr>
        <w:pStyle w:val="lfej"/>
        <w:numPr>
          <w:ilvl w:val="0"/>
          <w:numId w:val="7"/>
        </w:numPr>
        <w:tabs>
          <w:tab w:val="clear" w:pos="4536"/>
          <w:tab w:val="clear" w:pos="9072"/>
        </w:tabs>
      </w:pPr>
      <w:r>
        <w:t>Nem tartja be a MAB SZMSZ, az eljárási szabályok és rendek, a szakmai alapkövetelmények és részletes irányelvek, valamint a véleményezési elvek és egyéb, a MAB működésére vonatkozó belső szabályok és határozatok vonatkozó előírásait.</w:t>
      </w:r>
    </w:p>
    <w:p w14:paraId="1E8AD44E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4EFF6BEF" w14:textId="77777777" w:rsidR="00BA1B37" w:rsidRDefault="00BA1B37">
      <w:pPr>
        <w:pStyle w:val="lfej"/>
        <w:numPr>
          <w:ilvl w:val="0"/>
          <w:numId w:val="7"/>
        </w:numPr>
        <w:tabs>
          <w:tab w:val="clear" w:pos="4536"/>
          <w:tab w:val="clear" w:pos="9072"/>
        </w:tabs>
      </w:pPr>
      <w:r>
        <w:t>Összeférhetetlenségének vagy érdekellentétének fennállásáról elmulasztja tájékoztatni a MAB-ot, s a vonatkozó ügy(ek)ben véleményt nyilvánít vagy állást foglal, illetve az adott ügyre vonatkozó eljárásban bármilyen formában részt vesz.</w:t>
      </w:r>
    </w:p>
    <w:p w14:paraId="37DC811F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21525F2D" w14:textId="77777777" w:rsidR="00BA1B37" w:rsidRDefault="00BA1B37">
      <w:pPr>
        <w:pStyle w:val="lfej"/>
        <w:numPr>
          <w:ilvl w:val="0"/>
          <w:numId w:val="7"/>
        </w:numPr>
        <w:tabs>
          <w:tab w:val="clear" w:pos="4536"/>
          <w:tab w:val="clear" w:pos="9072"/>
        </w:tabs>
      </w:pPr>
      <w:r>
        <w:t>Tagságát, a MAB-ban betöltött funkcióját személyes vagy intézményes anyagi haszon vagy egyéb előny szerzésére használja.</w:t>
      </w:r>
    </w:p>
    <w:p w14:paraId="7019FDD0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302B04CE" w14:textId="77777777" w:rsidR="00BA1B37" w:rsidRDefault="00BA1B37">
      <w:pPr>
        <w:pStyle w:val="lfej"/>
        <w:numPr>
          <w:ilvl w:val="0"/>
          <w:numId w:val="7"/>
        </w:numPr>
        <w:tabs>
          <w:tab w:val="clear" w:pos="4536"/>
          <w:tab w:val="clear" w:pos="9072"/>
        </w:tabs>
      </w:pPr>
      <w:r>
        <w:t>Az adott ügyre vonatkozó hivatalos MAB állásfoglalás (MAB-határozat, vagy, határozathoz nem vezető eljárás esetén, kollégiumi vagy elnökségi szintű állásfoglalás) elfogadása előtt információt ad külső személynek vagy szervezetnek, vagy bármikor ezt teszi egy-egy állásfoglalás nem nyilvános részére vonatkozóan.</w:t>
      </w:r>
    </w:p>
    <w:p w14:paraId="7D643091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07A833CC" w14:textId="77777777" w:rsidR="00BA1B37" w:rsidRDefault="00BA1B37">
      <w:pPr>
        <w:pStyle w:val="lfej"/>
        <w:numPr>
          <w:ilvl w:val="0"/>
          <w:numId w:val="7"/>
        </w:numPr>
        <w:tabs>
          <w:tab w:val="clear" w:pos="4536"/>
          <w:tab w:val="clear" w:pos="9072"/>
        </w:tabs>
      </w:pPr>
      <w:r>
        <w:t>A MAB-hoz benyújtott pályázatok szellemi tulajdonjogát megsérti.</w:t>
      </w:r>
    </w:p>
    <w:p w14:paraId="5AD7DC2B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26264D44" w14:textId="77777777" w:rsidR="00BA1B37" w:rsidRDefault="00BA1B37">
      <w:pPr>
        <w:pStyle w:val="lfej"/>
        <w:numPr>
          <w:ilvl w:val="0"/>
          <w:numId w:val="7"/>
        </w:numPr>
        <w:tabs>
          <w:tab w:val="clear" w:pos="4536"/>
          <w:tab w:val="clear" w:pos="9072"/>
        </w:tabs>
      </w:pPr>
      <w:r>
        <w:t>Más Tagokkal nem működik együtt vagy a Tagok közötti együttműködést akadályozza.</w:t>
      </w:r>
    </w:p>
    <w:p w14:paraId="266EF5E8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09DC94B5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6E41ABE8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686CE069" w14:textId="77777777" w:rsidR="00BA1B37" w:rsidRDefault="00BA1B37">
      <w:pPr>
        <w:pStyle w:val="lfej"/>
        <w:tabs>
          <w:tab w:val="clear" w:pos="4536"/>
          <w:tab w:val="clear" w:pos="9072"/>
        </w:tabs>
        <w:sectPr w:rsidR="00BA1B37">
          <w:headerReference w:type="default" r:id="rId12"/>
          <w:footerReference w:type="default" r:id="rId13"/>
          <w:pgSz w:w="11906" w:h="16838"/>
          <w:pgMar w:top="1985" w:right="1418" w:bottom="1701" w:left="1418" w:header="680" w:footer="567" w:gutter="0"/>
          <w:cols w:space="708"/>
          <w:titlePg/>
        </w:sectPr>
      </w:pPr>
    </w:p>
    <w:p w14:paraId="33EA032C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33887F75" w14:textId="77777777" w:rsidR="00BA1B37" w:rsidRDefault="00BA1B37">
      <w:pPr>
        <w:pStyle w:val="lfej"/>
        <w:tabs>
          <w:tab w:val="clear" w:pos="4536"/>
          <w:tab w:val="clear" w:pos="9072"/>
        </w:tabs>
        <w:rPr>
          <w:b/>
        </w:rPr>
      </w:pPr>
      <w:r>
        <w:rPr>
          <w:b/>
        </w:rPr>
        <w:t>III. AZ ETIKAI BIZOTTSÁG ÉS AZ ETIKAI ELJÁRÁS</w:t>
      </w:r>
      <w:r>
        <w:rPr>
          <w:rStyle w:val="Lbjegyzet-hivatkozs"/>
          <w:b/>
        </w:rPr>
        <w:footnoteReference w:id="1"/>
      </w:r>
    </w:p>
    <w:p w14:paraId="168E887E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75170D35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10629661" w14:textId="77777777" w:rsidR="00BA1B37" w:rsidRDefault="00BA1B37">
      <w:pPr>
        <w:jc w:val="center"/>
        <w:rPr>
          <w:b/>
        </w:rPr>
      </w:pPr>
      <w:r>
        <w:rPr>
          <w:b/>
        </w:rPr>
        <w:t>Az</w:t>
      </w:r>
      <w:r>
        <w:t xml:space="preserve"> </w:t>
      </w:r>
      <w:r>
        <w:rPr>
          <w:b/>
        </w:rPr>
        <w:t>Etikai és Összeférhetetlenségi Bizottság eljárási és működési rendje</w:t>
      </w:r>
    </w:p>
    <w:p w14:paraId="312FBEE9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0FBBC8EA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32176B70" w14:textId="77777777" w:rsidR="00BA1B37" w:rsidRDefault="00BA1B37">
      <w:pPr>
        <w:pStyle w:val="Szvegtrzs"/>
      </w:pPr>
      <w:r>
        <w:t>Az Etikai és Összeférhetetlenségi Bizottság (továbbiakban Bizottság) a Magyar Akkreditációs Bizottság különbizottsága, amelynek feladata, hogy a Plénum felkérése alapján, a felmerülő etikai és összeférhetetlenségi ügyeket kivizsgálja, és a Plénum elé határozati javaslatot terjesszen.</w:t>
      </w:r>
    </w:p>
    <w:p w14:paraId="47816487" w14:textId="77777777" w:rsidR="00BA1B37" w:rsidRDefault="00BA1B37">
      <w:r>
        <w:t>A Bizottság feladatát az alábbi, a Plénum által jóváhagyott eljárási rend alapján végzi.</w:t>
      </w:r>
    </w:p>
    <w:p w14:paraId="49FA7BC3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296AD72F" w14:textId="77777777" w:rsidR="00BA1B37" w:rsidRDefault="00BA1B37"/>
    <w:p w14:paraId="02CDFCC5" w14:textId="77777777" w:rsidR="00BA1B37" w:rsidRDefault="00BA1B37">
      <w:pPr>
        <w:pStyle w:val="Cmsor1"/>
        <w:keepNext w:val="0"/>
        <w:numPr>
          <w:ilvl w:val="0"/>
          <w:numId w:val="8"/>
        </w:numPr>
        <w:spacing w:after="120"/>
        <w:ind w:left="357" w:hanging="357"/>
        <w:rPr>
          <w:sz w:val="24"/>
        </w:rPr>
      </w:pPr>
      <w:r>
        <w:rPr>
          <w:sz w:val="24"/>
        </w:rPr>
        <w:t>A Bizottság tagjai</w:t>
      </w:r>
    </w:p>
    <w:p w14:paraId="3366CB1D" w14:textId="77777777" w:rsidR="00BA1B37" w:rsidRDefault="00BA1B37">
      <w:pPr>
        <w:pStyle w:val="Cmsor2"/>
        <w:keepNext w:val="0"/>
        <w:numPr>
          <w:ilvl w:val="1"/>
          <w:numId w:val="8"/>
        </w:numPr>
        <w:ind w:left="357" w:hanging="357"/>
        <w:jc w:val="both"/>
        <w:rPr>
          <w:b w:val="0"/>
          <w:sz w:val="24"/>
        </w:rPr>
      </w:pPr>
      <w:r>
        <w:rPr>
          <w:b w:val="0"/>
          <w:sz w:val="24"/>
        </w:rPr>
        <w:t xml:space="preserve"> A Bizottság elnökből és két tagból áll.</w:t>
      </w:r>
    </w:p>
    <w:p w14:paraId="098ADE33" w14:textId="77777777" w:rsidR="00BA1B37" w:rsidRDefault="00BA1B37">
      <w:pPr>
        <w:pStyle w:val="Cmsor2"/>
        <w:keepNext w:val="0"/>
        <w:numPr>
          <w:ilvl w:val="1"/>
          <w:numId w:val="8"/>
        </w:numPr>
        <w:ind w:left="357" w:hanging="357"/>
        <w:jc w:val="both"/>
        <w:rPr>
          <w:b w:val="0"/>
          <w:sz w:val="24"/>
        </w:rPr>
      </w:pPr>
      <w:r>
        <w:rPr>
          <w:b w:val="0"/>
          <w:sz w:val="24"/>
        </w:rPr>
        <w:t xml:space="preserve"> A Bizottság mindenkori elnöke az állam- és jogtudomány tudományágát képviselő plénumtag.</w:t>
      </w:r>
    </w:p>
    <w:p w14:paraId="2F7AF9A9" w14:textId="77777777" w:rsidR="00BA1B37" w:rsidRDefault="00BA1B37">
      <w:pPr>
        <w:pStyle w:val="Cmsor2"/>
        <w:keepNext w:val="0"/>
        <w:numPr>
          <w:ilvl w:val="1"/>
          <w:numId w:val="8"/>
        </w:numPr>
        <w:ind w:left="357" w:hanging="357"/>
        <w:jc w:val="both"/>
        <w:rPr>
          <w:b w:val="0"/>
          <w:sz w:val="24"/>
        </w:rPr>
      </w:pPr>
      <w:r>
        <w:rPr>
          <w:b w:val="0"/>
          <w:sz w:val="24"/>
        </w:rPr>
        <w:t xml:space="preserve"> A Bizottság tagjait a MAB elnökének javaslata alapján, a Plénum saját tagjai közül, titkos szavazással választja meg. A tagok megbízatása csak az adott etikai illetve összeférhetetlenségi ügy kivizsgálásának idejére szól.</w:t>
      </w:r>
    </w:p>
    <w:p w14:paraId="1BC8858A" w14:textId="77777777" w:rsidR="00BA1B37" w:rsidRDefault="00BA1B37">
      <w:pPr>
        <w:pStyle w:val="Cmsor2"/>
        <w:keepNext w:val="0"/>
        <w:numPr>
          <w:ilvl w:val="1"/>
          <w:numId w:val="8"/>
        </w:numPr>
        <w:ind w:left="357" w:hanging="357"/>
        <w:jc w:val="both"/>
        <w:rPr>
          <w:b w:val="0"/>
          <w:sz w:val="24"/>
        </w:rPr>
      </w:pPr>
      <w:r>
        <w:rPr>
          <w:b w:val="0"/>
          <w:sz w:val="24"/>
        </w:rPr>
        <w:t xml:space="preserve"> Nem lehet az etikai bizottság tagja, illetve elnöke, aki ellen az etikai eljárás folyik, akinek a meghallgatása az etikai eljárás során szükségessé válhat, illetve aki az adott ügyben bármilyen más módon érintett. Az elnök érintettsége esetén a MAB elnökének javaslata alapján a Plénum az adott ügy kivizsgálására másik elnököt választ.</w:t>
      </w:r>
    </w:p>
    <w:p w14:paraId="76B7BAFF" w14:textId="77777777" w:rsidR="00BA1B37" w:rsidRDefault="00BA1B37"/>
    <w:p w14:paraId="018DCDDD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381F4943" w14:textId="77777777" w:rsidR="00BA1B37" w:rsidRDefault="00BA1B37">
      <w:pPr>
        <w:pStyle w:val="Cmsor1"/>
        <w:numPr>
          <w:ilvl w:val="0"/>
          <w:numId w:val="8"/>
        </w:numPr>
        <w:spacing w:after="120"/>
        <w:jc w:val="both"/>
        <w:rPr>
          <w:sz w:val="24"/>
        </w:rPr>
      </w:pPr>
      <w:r>
        <w:rPr>
          <w:sz w:val="24"/>
        </w:rPr>
        <w:t>Az etikai eljárás</w:t>
      </w:r>
    </w:p>
    <w:p w14:paraId="234A6F1A" w14:textId="77777777" w:rsidR="00BA1B37" w:rsidRDefault="00BA1B37"/>
    <w:p w14:paraId="7994FCA0" w14:textId="77777777" w:rsidR="00BA1B37" w:rsidRDefault="00BA1B37">
      <w:pPr>
        <w:numPr>
          <w:ilvl w:val="1"/>
          <w:numId w:val="8"/>
        </w:numPr>
      </w:pPr>
      <w:r>
        <w:t xml:space="preserve"> Etikai eljárást, etikai vétség gyanúja esetén, bármely plénumtag kezdeményezhet. Az etikai eljárás elrendeléséről a Plénum titkos szavazással dönt.</w:t>
      </w:r>
    </w:p>
    <w:p w14:paraId="63AC9191" w14:textId="77777777" w:rsidR="00BA1B37" w:rsidRDefault="00BA1B37">
      <w:pPr>
        <w:pStyle w:val="Cmsor2"/>
        <w:numPr>
          <w:ilvl w:val="1"/>
          <w:numId w:val="11"/>
        </w:numPr>
        <w:jc w:val="both"/>
        <w:rPr>
          <w:b w:val="0"/>
          <w:sz w:val="24"/>
        </w:rPr>
      </w:pPr>
      <w:r>
        <w:rPr>
          <w:b w:val="0"/>
          <w:sz w:val="24"/>
        </w:rPr>
        <w:t>Az etikai eljárást a Bizottság folytatja le. A bizottság az ügy kivizsgálása során szükség szerint, de legalább egyszer ülésezik. A Bizottság üléseit az elnök hívja össze.</w:t>
      </w:r>
    </w:p>
    <w:p w14:paraId="6E5942DC" w14:textId="77777777" w:rsidR="00BA1B37" w:rsidRDefault="00BA1B37">
      <w:pPr>
        <w:numPr>
          <w:ilvl w:val="1"/>
          <w:numId w:val="11"/>
        </w:numPr>
      </w:pPr>
      <w:r>
        <w:t xml:space="preserve"> A Bizottság az etikai eljárás alá vont tag munkában való részvételét – a MAB elnöksége véleményének kikérése után – az etikai eljárás idejére felfüggesztheti.</w:t>
      </w:r>
    </w:p>
    <w:p w14:paraId="7166F44B" w14:textId="77777777" w:rsidR="00BA1B37" w:rsidRDefault="00BA1B37">
      <w:pPr>
        <w:pStyle w:val="Cmsor2"/>
        <w:numPr>
          <w:ilvl w:val="1"/>
          <w:numId w:val="11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A Bizottság mindazokat meghallgathatja, akiknek az ügyről olyan információja van, amely az ügy teljes feltárásához szükséges.</w:t>
      </w:r>
    </w:p>
    <w:p w14:paraId="15B6E38D" w14:textId="77777777" w:rsidR="00BA1B37" w:rsidRDefault="00BA1B37">
      <w:pPr>
        <w:pStyle w:val="Cmsor3"/>
        <w:keepNext w:val="0"/>
        <w:numPr>
          <w:ilvl w:val="2"/>
          <w:numId w:val="11"/>
        </w:numPr>
        <w:jc w:val="both"/>
        <w:rPr>
          <w:i w:val="0"/>
          <w:sz w:val="24"/>
        </w:rPr>
      </w:pPr>
      <w:r>
        <w:rPr>
          <w:i w:val="0"/>
          <w:sz w:val="24"/>
        </w:rPr>
        <w:t>Az etikai eljárás alá vont személyeknek lehetőséget kell adni, hogy véleményüket a Bizottság előtt szóban is kifejthessék.</w:t>
      </w:r>
    </w:p>
    <w:p w14:paraId="244446E8" w14:textId="77777777" w:rsidR="00BA1B37" w:rsidRDefault="00BA1B37">
      <w:pPr>
        <w:pStyle w:val="Cmsor3"/>
        <w:keepNext w:val="0"/>
        <w:numPr>
          <w:ilvl w:val="2"/>
          <w:numId w:val="11"/>
        </w:numPr>
        <w:jc w:val="both"/>
        <w:rPr>
          <w:i w:val="0"/>
          <w:sz w:val="24"/>
        </w:rPr>
      </w:pPr>
      <w:r>
        <w:rPr>
          <w:i w:val="0"/>
          <w:sz w:val="24"/>
        </w:rPr>
        <w:t xml:space="preserve">A meghallgatásról az eljárás alá vont személyt legkésőbb a Bizottság ülését megelőző nyolcadik napon értesíteni kell. Az értesítésben fel kell tüntetni az ellene felhozott vádat és azzal meg kell küldeni a bizonyítékokat tartalmazó iratokat is. Ha az eljárás alá vont személy – legkésőbb a meghallgatást megelőző harmadik napon – írásban a kimentését kéri, a Bizottság a meghallgatásra újabb napot tűz ki. Az újabb </w:t>
      </w:r>
      <w:r>
        <w:rPr>
          <w:i w:val="0"/>
          <w:sz w:val="24"/>
        </w:rPr>
        <w:lastRenderedPageBreak/>
        <w:t>meghallgatás elmulasztása esetén a Bizottság az eljárás alá vont személy meghallgatása nélkül dönt. A meghallgatás elmulasztásának következményeire az érintettet figyelmeztetni kell.</w:t>
      </w:r>
    </w:p>
    <w:p w14:paraId="6A60EBF9" w14:textId="77777777" w:rsidR="00BA1B37" w:rsidRDefault="00BA1B37">
      <w:pPr>
        <w:pStyle w:val="Cmsor3"/>
        <w:keepNext w:val="0"/>
        <w:numPr>
          <w:ilvl w:val="2"/>
          <w:numId w:val="11"/>
        </w:numPr>
        <w:jc w:val="both"/>
        <w:rPr>
          <w:i w:val="0"/>
          <w:sz w:val="24"/>
        </w:rPr>
      </w:pPr>
      <w:r>
        <w:rPr>
          <w:i w:val="0"/>
          <w:sz w:val="24"/>
        </w:rPr>
        <w:t>A meghallgatásról emlékeztető készül, amelyet az elnök ellenjegyez.</w:t>
      </w:r>
    </w:p>
    <w:p w14:paraId="2349AA6B" w14:textId="77777777" w:rsidR="00BA1B37" w:rsidRDefault="00BA1B37">
      <w:pPr>
        <w:pStyle w:val="Cmsor2"/>
        <w:keepNext w:val="0"/>
        <w:numPr>
          <w:ilvl w:val="1"/>
          <w:numId w:val="11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A bizottság a Plénum számára megfogalmazott javaslatát a rendelkezésre álló iratok és a személyes meghallgatások alapján valamennyi tag jelenléte mellett, szótöbbséggel hozza meg. A kisebbségben maradó tag (elnök) a döntéshez különvéleményt fűzhet. A bizottság a javaslatát indokolni köteles.</w:t>
      </w:r>
    </w:p>
    <w:p w14:paraId="5C1B811E" w14:textId="77777777" w:rsidR="00BA1B37" w:rsidRDefault="00BA1B37">
      <w:pPr>
        <w:pStyle w:val="Cmsor2"/>
        <w:keepNext w:val="0"/>
        <w:numPr>
          <w:ilvl w:val="1"/>
          <w:numId w:val="11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A Bizottság a következő határozati javaslatotokat terjesztheti a Plénum elé:</w:t>
      </w:r>
    </w:p>
    <w:p w14:paraId="26354939" w14:textId="77777777" w:rsidR="00BA1B37" w:rsidRDefault="00BA1B37">
      <w:pPr>
        <w:pStyle w:val="Cmsor3"/>
        <w:keepNext w:val="0"/>
        <w:numPr>
          <w:ilvl w:val="2"/>
          <w:numId w:val="11"/>
        </w:numPr>
        <w:jc w:val="both"/>
        <w:rPr>
          <w:i w:val="0"/>
          <w:sz w:val="24"/>
        </w:rPr>
      </w:pPr>
      <w:r>
        <w:rPr>
          <w:i w:val="0"/>
          <w:sz w:val="24"/>
        </w:rPr>
        <w:t>Az etikai vétség megállapítását és etikai büntetés kiszabását javasolja.</w:t>
      </w:r>
    </w:p>
    <w:p w14:paraId="6546C3B5" w14:textId="77777777" w:rsidR="00BA1B37" w:rsidRDefault="00BA1B37">
      <w:pPr>
        <w:pStyle w:val="Cmsor3"/>
        <w:keepNext w:val="0"/>
        <w:numPr>
          <w:ilvl w:val="2"/>
          <w:numId w:val="11"/>
        </w:numPr>
        <w:jc w:val="both"/>
        <w:rPr>
          <w:i w:val="0"/>
          <w:sz w:val="24"/>
        </w:rPr>
      </w:pPr>
      <w:r>
        <w:rPr>
          <w:i w:val="0"/>
          <w:sz w:val="24"/>
        </w:rPr>
        <w:t>Az etikai eljárás megszüntetését javasolja, ha úgy látja, hogy etikai vétség nem történt vagy annak eldöntése nem a MAB hatáskörébe tartozik.</w:t>
      </w:r>
    </w:p>
    <w:p w14:paraId="66CED2D7" w14:textId="77777777" w:rsidR="00BA1B37" w:rsidRDefault="00BA1B37">
      <w:pPr>
        <w:pStyle w:val="Cmsor3"/>
        <w:keepNext w:val="0"/>
        <w:numPr>
          <w:ilvl w:val="2"/>
          <w:numId w:val="11"/>
        </w:numPr>
        <w:jc w:val="both"/>
        <w:rPr>
          <w:i w:val="0"/>
          <w:sz w:val="24"/>
        </w:rPr>
      </w:pPr>
      <w:r>
        <w:rPr>
          <w:i w:val="0"/>
          <w:sz w:val="24"/>
        </w:rPr>
        <w:t>Az etikai eljárás megszüntetését javasolja és felhívja a MAB elnökének figyelmét arra, hogy a Közalkalmazottak jogállásáról szóló 1992. évi XXXIII. törvény rendelkezéseinek megfelelően fegyelmi eljárás lefolytatása szükséges, ha feltehető, hogy az MAB titkárságának dolgozója fegyelmi vétséget követett el.</w:t>
      </w:r>
    </w:p>
    <w:p w14:paraId="277B6503" w14:textId="77777777" w:rsidR="00BA1B37" w:rsidRDefault="00BA1B37">
      <w:pPr>
        <w:pStyle w:val="Cmsor2"/>
        <w:keepNext w:val="0"/>
        <w:numPr>
          <w:ilvl w:val="1"/>
          <w:numId w:val="11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A határozati javaslatot az etikai eljárás alá vont tag részére meg kell küldeni, aki egyet nem értés esetén – a kézhezvételtől számított három napon belül – írásban észrevételt tehet, amelyet a Bizottság a határozati javaslattal együtt a Plénum elé terjeszt.</w:t>
      </w:r>
    </w:p>
    <w:p w14:paraId="43DEF4F0" w14:textId="77777777" w:rsidR="00BA1B37" w:rsidRDefault="00BA1B37"/>
    <w:p w14:paraId="5B6774A7" w14:textId="77777777" w:rsidR="00BA1B37" w:rsidRDefault="00BA1B37">
      <w:pPr>
        <w:pStyle w:val="lfej"/>
        <w:tabs>
          <w:tab w:val="clear" w:pos="4536"/>
          <w:tab w:val="clear" w:pos="9072"/>
        </w:tabs>
      </w:pPr>
    </w:p>
    <w:p w14:paraId="2AF2FFDD" w14:textId="77777777" w:rsidR="00BA1B37" w:rsidRDefault="00BA1B37">
      <w:pPr>
        <w:pStyle w:val="Cmsor1"/>
        <w:keepNext w:val="0"/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Etikai büntetések</w:t>
      </w:r>
    </w:p>
    <w:p w14:paraId="474E88EB" w14:textId="77777777" w:rsidR="00BA1B37" w:rsidRDefault="00BA1B37">
      <w:pPr>
        <w:pStyle w:val="Cmsor2"/>
        <w:keepNext w:val="0"/>
        <w:numPr>
          <w:ilvl w:val="1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Szóbeli figyelmeztetés</w:t>
      </w:r>
    </w:p>
    <w:p w14:paraId="2AE76BBA" w14:textId="77777777" w:rsidR="00BA1B37" w:rsidRDefault="00BA1B37">
      <w:pPr>
        <w:pStyle w:val="Cmsor2"/>
        <w:keepNext w:val="0"/>
        <w:numPr>
          <w:ilvl w:val="1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Írásbeli figyelmeztetés</w:t>
      </w:r>
    </w:p>
    <w:p w14:paraId="0B1C7592" w14:textId="77777777" w:rsidR="00BA1B37" w:rsidRDefault="00BA1B37">
      <w:pPr>
        <w:pStyle w:val="Cmsor2"/>
        <w:keepNext w:val="0"/>
        <w:numPr>
          <w:ilvl w:val="1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Bizottsági tag visszahívása.</w:t>
      </w:r>
    </w:p>
    <w:p w14:paraId="5DD721F4" w14:textId="77777777" w:rsidR="00BA1B37" w:rsidRDefault="00BA1B37">
      <w:pPr>
        <w:pStyle w:val="Szvegtrzs2"/>
        <w:ind w:firstLine="360"/>
        <w:jc w:val="both"/>
      </w:pPr>
      <w:r>
        <w:t>Bizottsági tagot csak súlyos vagy ismételt kötelességszegés esetén lehet visszahívni.</w:t>
      </w:r>
    </w:p>
    <w:p w14:paraId="213E6529" w14:textId="77777777" w:rsidR="00BA1B37" w:rsidRDefault="00BA1B37">
      <w:pPr>
        <w:pStyle w:val="Szvegtrzs2"/>
        <w:ind w:firstLine="360"/>
        <w:jc w:val="both"/>
      </w:pPr>
    </w:p>
    <w:p w14:paraId="71BB8F5D" w14:textId="77777777" w:rsidR="00BA1B37" w:rsidRDefault="00BA1B37">
      <w:pPr>
        <w:pStyle w:val="Szvegtrzs2"/>
        <w:ind w:firstLine="360"/>
        <w:jc w:val="both"/>
      </w:pPr>
    </w:p>
    <w:p w14:paraId="4377C8D6" w14:textId="77777777" w:rsidR="00BA1B37" w:rsidRDefault="00BA1B37">
      <w:pPr>
        <w:pStyle w:val="Cmsor1"/>
        <w:keepNext w:val="0"/>
        <w:numPr>
          <w:ilvl w:val="0"/>
          <w:numId w:val="9"/>
        </w:numPr>
        <w:spacing w:after="120"/>
        <w:jc w:val="both"/>
        <w:rPr>
          <w:sz w:val="24"/>
        </w:rPr>
      </w:pPr>
      <w:r>
        <w:rPr>
          <w:sz w:val="24"/>
        </w:rPr>
        <w:t>Határozathozatal</w:t>
      </w:r>
    </w:p>
    <w:p w14:paraId="6560A2DD" w14:textId="77777777" w:rsidR="00BA1B37" w:rsidRDefault="00BA1B37">
      <w:pPr>
        <w:pStyle w:val="Cmsor2"/>
        <w:keepNext w:val="0"/>
        <w:numPr>
          <w:ilvl w:val="1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A Bizottság javaslatát az elnök terjeszti a Plénum elé.</w:t>
      </w:r>
    </w:p>
    <w:p w14:paraId="4754F26B" w14:textId="77777777" w:rsidR="00BA1B37" w:rsidRDefault="00BA1B37">
      <w:pPr>
        <w:pStyle w:val="Cmsor2"/>
        <w:keepNext w:val="0"/>
        <w:numPr>
          <w:ilvl w:val="1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A Plénum az etikai határozati javaslatot megvitatja, és arról titkos szavazással dönt. Az érintettek nem szavazhatnak és a vitánál sem lehetnek jelen.</w:t>
      </w:r>
    </w:p>
    <w:p w14:paraId="20E4CF8F" w14:textId="77777777" w:rsidR="00BA1B37" w:rsidRDefault="00BA1B37">
      <w:pPr>
        <w:pStyle w:val="Cmsor2"/>
        <w:keepNext w:val="0"/>
        <w:numPr>
          <w:ilvl w:val="1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A Plénum a következő határozatokat hozhatja:</w:t>
      </w:r>
    </w:p>
    <w:p w14:paraId="04FB6EE1" w14:textId="77777777" w:rsidR="00BA1B37" w:rsidRDefault="00BA1B37">
      <w:pPr>
        <w:pStyle w:val="Cmsor3"/>
        <w:keepNext w:val="0"/>
        <w:numPr>
          <w:ilvl w:val="2"/>
          <w:numId w:val="9"/>
        </w:numPr>
        <w:jc w:val="both"/>
        <w:rPr>
          <w:i w:val="0"/>
          <w:sz w:val="24"/>
        </w:rPr>
      </w:pPr>
      <w:r>
        <w:rPr>
          <w:i w:val="0"/>
          <w:sz w:val="24"/>
        </w:rPr>
        <w:t>Az etikai vétséget megállapítja, és etikai büntetést szab ki.</w:t>
      </w:r>
    </w:p>
    <w:p w14:paraId="3CD95D9E" w14:textId="77777777" w:rsidR="00BA1B37" w:rsidRDefault="00BA1B37">
      <w:pPr>
        <w:pStyle w:val="Cmsor3"/>
        <w:keepNext w:val="0"/>
        <w:numPr>
          <w:ilvl w:val="2"/>
          <w:numId w:val="9"/>
        </w:numPr>
        <w:jc w:val="both"/>
        <w:rPr>
          <w:i w:val="0"/>
          <w:sz w:val="24"/>
        </w:rPr>
      </w:pPr>
      <w:r>
        <w:rPr>
          <w:i w:val="0"/>
          <w:sz w:val="24"/>
        </w:rPr>
        <w:t>Az eljárást megszünteti.</w:t>
      </w:r>
    </w:p>
    <w:p w14:paraId="79E952DB" w14:textId="77777777" w:rsidR="00BA1B37" w:rsidRDefault="00BA1B37">
      <w:pPr>
        <w:pStyle w:val="Cmsor3"/>
        <w:keepNext w:val="0"/>
        <w:numPr>
          <w:ilvl w:val="2"/>
          <w:numId w:val="9"/>
        </w:numPr>
        <w:jc w:val="both"/>
        <w:rPr>
          <w:i w:val="0"/>
          <w:sz w:val="24"/>
        </w:rPr>
      </w:pPr>
      <w:r>
        <w:rPr>
          <w:i w:val="0"/>
          <w:sz w:val="24"/>
        </w:rPr>
        <w:t>Az eljárást megszünteti és felhívja a MAB elnökének figyelmét a fegyelmi eljárás lefolytatásának szükségességére.</w:t>
      </w:r>
    </w:p>
    <w:p w14:paraId="071CA14F" w14:textId="77777777" w:rsidR="00BA1B37" w:rsidRDefault="00BA1B37">
      <w:pPr>
        <w:pStyle w:val="Cmsor2"/>
        <w:keepNext w:val="0"/>
        <w:numPr>
          <w:ilvl w:val="1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A Plénum a határozatát minden esetben indokolni köteles.</w:t>
      </w:r>
    </w:p>
    <w:p w14:paraId="70651004" w14:textId="77777777" w:rsidR="00BA1B37" w:rsidRDefault="00BA1B37">
      <w:pPr>
        <w:pStyle w:val="Cmsor2"/>
        <w:keepNext w:val="0"/>
        <w:numPr>
          <w:ilvl w:val="1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Amennyiben a Plénum etikai büntetésként szóbeli vagy írásbeli figyelmeztetést alkalmaz, gondoskodik annak MAB-on belüli – indokolt esetben szélesebb körű – nyilvánosságra hozataláról.</w:t>
      </w:r>
    </w:p>
    <w:p w14:paraId="70244BC2" w14:textId="77777777" w:rsidR="00BA1B37" w:rsidRDefault="00BA1B37">
      <w:pPr>
        <w:pStyle w:val="Cmsor2"/>
        <w:keepNext w:val="0"/>
        <w:numPr>
          <w:ilvl w:val="1"/>
          <w:numId w:val="9"/>
        </w:numPr>
        <w:jc w:val="both"/>
        <w:rPr>
          <w:b w:val="0"/>
          <w:sz w:val="24"/>
        </w:rPr>
      </w:pPr>
      <w:r>
        <w:rPr>
          <w:b w:val="0"/>
          <w:sz w:val="24"/>
        </w:rPr>
        <w:t xml:space="preserve"> A plénum határozatát a MAB elnöke írásban közli az etikai eljárás alá vont személlyel.</w:t>
      </w:r>
    </w:p>
    <w:sectPr w:rsidR="00BA1B37">
      <w:footerReference w:type="default" r:id="rId14"/>
      <w:pgSz w:w="11906" w:h="16838"/>
      <w:pgMar w:top="1985" w:right="1418" w:bottom="1701" w:left="1418" w:header="68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ACE16" w14:textId="77777777" w:rsidR="003D541A" w:rsidRDefault="003D541A">
      <w:r>
        <w:separator/>
      </w:r>
    </w:p>
  </w:endnote>
  <w:endnote w:type="continuationSeparator" w:id="0">
    <w:p w14:paraId="55394A50" w14:textId="77777777" w:rsidR="003D541A" w:rsidRDefault="003D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9C86B" w14:textId="77777777" w:rsidR="00BA1B37" w:rsidRDefault="00BA1B37">
    <w:pPr>
      <w:pStyle w:val="llb"/>
      <w:pBdr>
        <w:top w:val="single" w:sz="4" w:space="1" w:color="auto"/>
      </w:pBdr>
      <w:rPr>
        <w:rStyle w:val="Oldalszm"/>
        <w:sz w:val="18"/>
      </w:rPr>
    </w:pPr>
    <w:r>
      <w:rPr>
        <w:sz w:val="18"/>
      </w:rPr>
      <w:t>MAB Titkárság</w:t>
    </w:r>
    <w:r>
      <w:tab/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3A1A2B">
      <w:rPr>
        <w:rStyle w:val="Oldalszm"/>
        <w:noProof/>
      </w:rPr>
      <w:t>6</w:t>
    </w:r>
    <w:r>
      <w:rPr>
        <w:rStyle w:val="Oldalszm"/>
      </w:rPr>
      <w:fldChar w:fldCharType="end"/>
    </w:r>
    <w:r>
      <w:rPr>
        <w:rStyle w:val="Oldalszm"/>
      </w:rPr>
      <w:tab/>
    </w:r>
    <w:r>
      <w:rPr>
        <w:rStyle w:val="Oldalszm"/>
        <w:sz w:val="18"/>
      </w:rPr>
      <w:t>2004.02.27.</w:t>
    </w:r>
  </w:p>
  <w:p w14:paraId="453A7C8C" w14:textId="77777777" w:rsidR="00BA1B37" w:rsidRDefault="00BA1B37">
    <w:pPr>
      <w:pStyle w:val="llb"/>
      <w:pBdr>
        <w:top w:val="single" w:sz="4" w:space="1" w:color="auto"/>
      </w:pBdr>
      <w:rPr>
        <w:sz w:val="20"/>
      </w:rPr>
    </w:pPr>
    <w:r>
      <w:rPr>
        <w:sz w:val="18"/>
      </w:rPr>
      <w:t>Szántó Tibor</w:t>
    </w:r>
    <w:r>
      <w:rPr>
        <w:sz w:val="20"/>
      </w:rPr>
      <w:tab/>
    </w:r>
    <w:r>
      <w:rPr>
        <w:sz w:val="20"/>
      </w:rPr>
      <w:tab/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FILENAME \p </w:instrText>
    </w:r>
    <w:r>
      <w:rPr>
        <w:snapToGrid w:val="0"/>
        <w:sz w:val="18"/>
      </w:rPr>
      <w:fldChar w:fldCharType="separate"/>
    </w:r>
    <w:r>
      <w:rPr>
        <w:noProof/>
        <w:snapToGrid w:val="0"/>
        <w:sz w:val="18"/>
      </w:rPr>
      <w:t>K:\PLENUM\MELLEKL\2004\0227kodex.doc</w:t>
    </w:r>
    <w:r>
      <w:rPr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A671" w14:textId="77777777" w:rsidR="00BA1B37" w:rsidRDefault="00BA1B37">
    <w:pPr>
      <w:pStyle w:val="llb"/>
      <w:pBdr>
        <w:top w:val="single" w:sz="4" w:space="1" w:color="auto"/>
      </w:pBdr>
      <w:rPr>
        <w:rStyle w:val="Oldalszm"/>
        <w:sz w:val="18"/>
      </w:rPr>
    </w:pPr>
    <w:r>
      <w:rPr>
        <w:sz w:val="18"/>
      </w:rPr>
      <w:t>MAB Titkárság</w:t>
    </w:r>
    <w:r>
      <w:tab/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3A1A2B">
      <w:rPr>
        <w:rStyle w:val="Oldalszm"/>
        <w:noProof/>
      </w:rPr>
      <w:t>8</w:t>
    </w:r>
    <w:r>
      <w:rPr>
        <w:rStyle w:val="Oldalszm"/>
      </w:rPr>
      <w:fldChar w:fldCharType="end"/>
    </w:r>
    <w:r>
      <w:rPr>
        <w:rStyle w:val="Oldalszm"/>
      </w:rPr>
      <w:tab/>
    </w:r>
    <w:r>
      <w:rPr>
        <w:rStyle w:val="Oldalszm"/>
        <w:sz w:val="18"/>
      </w:rPr>
      <w:t>2004.02.16.</w:t>
    </w:r>
  </w:p>
  <w:p w14:paraId="595AEAD5" w14:textId="77777777" w:rsidR="00BA1B37" w:rsidRDefault="00BA1B37">
    <w:pPr>
      <w:pStyle w:val="llb"/>
      <w:pBdr>
        <w:top w:val="single" w:sz="4" w:space="1" w:color="auto"/>
      </w:pBdr>
      <w:rPr>
        <w:sz w:val="20"/>
      </w:rPr>
    </w:pPr>
    <w:r>
      <w:rPr>
        <w:sz w:val="18"/>
      </w:rPr>
      <w:t>Dávid Zsófia</w:t>
    </w:r>
    <w:r>
      <w:rPr>
        <w:sz w:val="20"/>
      </w:rPr>
      <w:tab/>
    </w:r>
    <w:r>
      <w:rPr>
        <w:sz w:val="20"/>
      </w:rPr>
      <w:tab/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FILENAME \p </w:instrText>
    </w:r>
    <w:r>
      <w:rPr>
        <w:snapToGrid w:val="0"/>
        <w:sz w:val="18"/>
      </w:rPr>
      <w:fldChar w:fldCharType="separate"/>
    </w:r>
    <w:r>
      <w:rPr>
        <w:noProof/>
        <w:snapToGrid w:val="0"/>
        <w:sz w:val="18"/>
      </w:rPr>
      <w:t>K:\PLENUM\MELLEKL\2004\0227kodex.doc</w:t>
    </w:r>
    <w:r>
      <w:rPr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CE3AE" w14:textId="77777777" w:rsidR="003D541A" w:rsidRDefault="003D541A">
      <w:r>
        <w:separator/>
      </w:r>
    </w:p>
  </w:footnote>
  <w:footnote w:type="continuationSeparator" w:id="0">
    <w:p w14:paraId="2C45F30A" w14:textId="77777777" w:rsidR="003D541A" w:rsidRDefault="003D541A">
      <w:r>
        <w:continuationSeparator/>
      </w:r>
    </w:p>
  </w:footnote>
  <w:footnote w:id="1">
    <w:p w14:paraId="2EF90DDF" w14:textId="77777777" w:rsidR="00BA1B37" w:rsidRDefault="00BA1B37">
      <w:pPr>
        <w:pStyle w:val="Lbjegyzetszveg"/>
      </w:pPr>
      <w:r>
        <w:rPr>
          <w:rStyle w:val="Lbjegyzet-hivatkozs"/>
        </w:rPr>
        <w:footnoteRef/>
      </w:r>
      <w:r>
        <w:t xml:space="preserve">  Az </w:t>
      </w:r>
      <w:r>
        <w:rPr>
          <w:i/>
        </w:rPr>
        <w:t>Etikai Kódex</w:t>
      </w:r>
      <w:r>
        <w:t xml:space="preserve"> megalkotása előtt, első változatában ez a rész önállóan, a MAB 2000/1/IV/1. sz. határozataként szerepelt.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41C8" w14:textId="77777777" w:rsidR="00BA1B37" w:rsidRDefault="00BA1B37">
    <w:pPr>
      <w:pStyle w:val="lfej"/>
      <w:jc w:val="center"/>
      <w:rPr>
        <w:sz w:val="18"/>
      </w:rPr>
    </w:pPr>
    <w:r>
      <w:rPr>
        <w:noProof/>
        <w:sz w:val="18"/>
      </w:rPr>
      <w:pict w14:anchorId="397A96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411.5pt;margin-top:.55pt;width:43.2pt;height:26.5pt;z-index:1" o:allowincell="f">
          <v:imagedata r:id="rId1" o:title="akrilogo"/>
          <w10:wrap type="topAndBottom"/>
        </v:shape>
      </w:pict>
    </w:r>
  </w:p>
  <w:p w14:paraId="7EB83725" w14:textId="77777777" w:rsidR="00BA1B37" w:rsidRDefault="00BA1B37">
    <w:pPr>
      <w:pStyle w:val="lfej"/>
      <w:jc w:val="center"/>
      <w:rPr>
        <w:i/>
        <w:sz w:val="18"/>
      </w:rPr>
    </w:pPr>
    <w:r>
      <w:rPr>
        <w:i/>
        <w:sz w:val="18"/>
      </w:rPr>
      <w:t>Etikai Kódex</w:t>
    </w:r>
  </w:p>
  <w:p w14:paraId="7C288E0F" w14:textId="77777777" w:rsidR="00BA1B37" w:rsidRDefault="00BA1B37">
    <w:pPr>
      <w:pStyle w:val="lfej"/>
      <w:pBdr>
        <w:bottom w:val="double" w:sz="4" w:space="1" w:color="auto"/>
      </w:pBd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7482CF0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2E0C38"/>
    <w:multiLevelType w:val="multilevel"/>
    <w:tmpl w:val="0798CB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C11086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FB7D95"/>
    <w:multiLevelType w:val="multilevel"/>
    <w:tmpl w:val="B95ED7C2"/>
    <w:lvl w:ilvl="0">
      <w:start w:val="2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712B0F"/>
    <w:multiLevelType w:val="multilevel"/>
    <w:tmpl w:val="13946B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B1077F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9D0D0E"/>
    <w:multiLevelType w:val="singleLevel"/>
    <w:tmpl w:val="0C9AC2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2C8D69D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E2320F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8C103DE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57239D"/>
    <w:multiLevelType w:val="multilevel"/>
    <w:tmpl w:val="0C682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A97F2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57D587D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149037A"/>
    <w:multiLevelType w:val="multilevel"/>
    <w:tmpl w:val="7D06E552"/>
    <w:lvl w:ilvl="0">
      <w:start w:val="2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F0C342E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379014779">
    <w:abstractNumId w:val="14"/>
  </w:num>
  <w:num w:numId="2" w16cid:durableId="1705253901">
    <w:abstractNumId w:val="2"/>
  </w:num>
  <w:num w:numId="3" w16cid:durableId="1239827793">
    <w:abstractNumId w:val="12"/>
  </w:num>
  <w:num w:numId="4" w16cid:durableId="4868039">
    <w:abstractNumId w:val="4"/>
  </w:num>
  <w:num w:numId="5" w16cid:durableId="1567884936">
    <w:abstractNumId w:val="11"/>
  </w:num>
  <w:num w:numId="6" w16cid:durableId="1319654003">
    <w:abstractNumId w:val="9"/>
  </w:num>
  <w:num w:numId="7" w16cid:durableId="1408654725">
    <w:abstractNumId w:val="8"/>
  </w:num>
  <w:num w:numId="8" w16cid:durableId="2131627995">
    <w:abstractNumId w:val="10"/>
  </w:num>
  <w:num w:numId="9" w16cid:durableId="131992396">
    <w:abstractNumId w:val="1"/>
  </w:num>
  <w:num w:numId="10" w16cid:durableId="629019840">
    <w:abstractNumId w:val="13"/>
  </w:num>
  <w:num w:numId="11" w16cid:durableId="1027490344">
    <w:abstractNumId w:val="3"/>
  </w:num>
  <w:num w:numId="12" w16cid:durableId="1126119214">
    <w:abstractNumId w:val="0"/>
  </w:num>
  <w:num w:numId="13" w16cid:durableId="598179390">
    <w:abstractNumId w:val="5"/>
  </w:num>
  <w:num w:numId="14" w16cid:durableId="1506898375">
    <w:abstractNumId w:val="7"/>
  </w:num>
  <w:num w:numId="15" w16cid:durableId="1114902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1B37"/>
    <w:rsid w:val="00060BB3"/>
    <w:rsid w:val="003A1A2B"/>
    <w:rsid w:val="003D541A"/>
    <w:rsid w:val="00AD6B09"/>
    <w:rsid w:val="00BA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8783B53"/>
  <w15:chartTrackingRefBased/>
  <w15:docId w15:val="{CB132682-6E3D-46E3-BDE4-C26E9470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jc w:val="both"/>
    </w:pPr>
    <w:rPr>
      <w:sz w:val="24"/>
    </w:rPr>
  </w:style>
  <w:style w:type="paragraph" w:styleId="Cmsor1">
    <w:name w:val="heading 1"/>
    <w:basedOn w:val="Norml"/>
    <w:next w:val="Norml"/>
    <w:qFormat/>
    <w:pPr>
      <w:keepNext/>
      <w:jc w:val="left"/>
      <w:outlineLvl w:val="0"/>
    </w:pPr>
    <w:rPr>
      <w:b/>
      <w:smallCaps/>
      <w:sz w:val="28"/>
    </w:rPr>
  </w:style>
  <w:style w:type="paragraph" w:styleId="Cmsor2">
    <w:name w:val="heading 2"/>
    <w:basedOn w:val="Norml"/>
    <w:next w:val="Norml"/>
    <w:qFormat/>
    <w:pPr>
      <w:keepNext/>
      <w:jc w:val="left"/>
      <w:outlineLvl w:val="1"/>
    </w:pPr>
    <w:rPr>
      <w:b/>
      <w:sz w:val="28"/>
    </w:rPr>
  </w:style>
  <w:style w:type="paragraph" w:styleId="Cmsor3">
    <w:name w:val="heading 3"/>
    <w:basedOn w:val="Cmsor2"/>
    <w:next w:val="Norml"/>
    <w:qFormat/>
    <w:pPr>
      <w:outlineLvl w:val="2"/>
    </w:pPr>
    <w:rPr>
      <w:b w:val="0"/>
      <w:i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sz w:val="44"/>
    </w:rPr>
  </w:style>
  <w:style w:type="paragraph" w:styleId="Cmsor7">
    <w:name w:val="heading 7"/>
    <w:basedOn w:val="Norml"/>
    <w:next w:val="Norml"/>
    <w:qFormat/>
    <w:pPr>
      <w:keepNext/>
      <w:tabs>
        <w:tab w:val="left" w:pos="2835"/>
      </w:tabs>
      <w:jc w:val="center"/>
      <w:outlineLvl w:val="6"/>
    </w:pPr>
    <w:rPr>
      <w:b/>
      <w:sz w:val="32"/>
    </w:rPr>
  </w:style>
  <w:style w:type="paragraph" w:styleId="Cmsor9">
    <w:name w:val="heading 9"/>
    <w:basedOn w:val="Norml"/>
    <w:next w:val="Norml"/>
    <w:qFormat/>
    <w:pPr>
      <w:keepNext/>
      <w:jc w:val="center"/>
      <w:outlineLvl w:val="8"/>
    </w:pPr>
    <w:rPr>
      <w:sz w:val="3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567" w:hanging="567"/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2">
    <w:name w:val="Body Text Indent 2"/>
    <w:basedOn w:val="Norml"/>
    <w:pPr>
      <w:ind w:left="426"/>
    </w:pPr>
  </w:style>
  <w:style w:type="paragraph" w:styleId="Szvegtrzs">
    <w:name w:val="Body Text"/>
    <w:basedOn w:val="Norml"/>
  </w:style>
  <w:style w:type="paragraph" w:styleId="Szvegtrzs2">
    <w:name w:val="Body Text 2"/>
    <w:basedOn w:val="Norml"/>
    <w:pPr>
      <w:jc w:val="left"/>
    </w:pPr>
  </w:style>
  <w:style w:type="paragraph" w:styleId="Felsorols2">
    <w:name w:val="List Bullet 2"/>
    <w:basedOn w:val="Norml"/>
    <w:autoRedefine/>
    <w:pPr>
      <w:numPr>
        <w:numId w:val="12"/>
      </w:numPr>
      <w:jc w:val="left"/>
    </w:pPr>
  </w:style>
  <w:style w:type="paragraph" w:styleId="Listafolytatsa">
    <w:name w:val="List Continue"/>
    <w:basedOn w:val="Norml"/>
    <w:pPr>
      <w:spacing w:after="120"/>
      <w:ind w:left="283"/>
      <w:jc w:val="left"/>
    </w:pPr>
  </w:style>
  <w:style w:type="paragraph" w:styleId="Lbjegyzetszveg">
    <w:name w:val="footnote text"/>
    <w:basedOn w:val="Norml"/>
    <w:semiHidden/>
    <w:rPr>
      <w:sz w:val="20"/>
    </w:rPr>
  </w:style>
  <w:style w:type="character" w:styleId="Lbjegyzet-hivatkozs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2CB9D0AD55CFD449DB4360F41E81D80" ma:contentTypeVersion="6" ma:contentTypeDescription="Új dokumentum létrehozása." ma:contentTypeScope="" ma:versionID="38854140e3f26214f403ba2c970282da">
  <xsd:schema xmlns:xsd="http://www.w3.org/2001/XMLSchema" xmlns:xs="http://www.w3.org/2001/XMLSchema" xmlns:p="http://schemas.microsoft.com/office/2006/metadata/properties" xmlns:ns2="59e8bade-79c7-41e2-997e-3628bc8b37bc" xmlns:ns3="4779ae19-5a5a-4566-8440-39c3075195f9" targetNamespace="http://schemas.microsoft.com/office/2006/metadata/properties" ma:root="true" ma:fieldsID="79dd0d023932b4fe968d31fcbb22454b" ns2:_="" ns3:_="">
    <xsd:import namespace="59e8bade-79c7-41e2-997e-3628bc8b37bc"/>
    <xsd:import namespace="4779ae19-5a5a-4566-8440-39c3075195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8bade-79c7-41e2-997e-3628bc8b3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9ae19-5a5a-4566-8440-39c30751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A45C2B-82AA-41A1-B7D7-9E65A004F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8bade-79c7-41e2-997e-3628bc8b37bc"/>
    <ds:schemaRef ds:uri="4779ae19-5a5a-4566-8440-39c307519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27F4D-BF95-46E5-B3C7-C0D6192FCBD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508BDB0-9646-40C0-AF34-33C9565742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24B425-3F35-4B58-BA88-CD70BC789F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1880</Words>
  <Characters>12977</Characters>
  <Application>Microsoft Office Word</Application>
  <DocSecurity>0</DocSecurity>
  <Lines>108</Lines>
  <Paragraphs>29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MAGYAR AKKREDITÁCIÓS BIZOTTSÁG</vt:lpstr>
      <vt:lpstr>MAGYAR AKKREDITÁCIÓS BIZOTTSÁG</vt:lpstr>
    </vt:vector>
  </TitlesOfParts>
  <Company>MAB</Company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AKKREDITÁCIÓS BIZOTTSÁG</dc:title>
  <dc:subject/>
  <dc:creator>Szántó Tibor</dc:creator>
  <cp:keywords/>
  <dc:description/>
  <cp:lastModifiedBy>Lőrincz  Márton Antal</cp:lastModifiedBy>
  <cp:revision>2</cp:revision>
  <cp:lastPrinted>2004-02-16T17:35:00Z</cp:lastPrinted>
  <dcterms:created xsi:type="dcterms:W3CDTF">2022-07-20T07:09:00Z</dcterms:created>
  <dcterms:modified xsi:type="dcterms:W3CDTF">2022-07-20T07:09:00Z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84057000.0000000</vt:lpwstr>
  </property>
</Properties>
</file>