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A4B3" w14:textId="3F665B7A" w:rsidR="00307C62" w:rsidRPr="00A245AB" w:rsidRDefault="00C10ABB" w:rsidP="00C10ABB">
      <w:pPr>
        <w:spacing w:before="2000" w:after="0"/>
        <w:jc w:val="center"/>
        <w:rPr>
          <w:rFonts w:ascii="Times New Roman" w:hAnsi="Times New Roman" w:cs="Times New Roman"/>
          <w:b/>
          <w:color w:val="002060"/>
          <w:sz w:val="28"/>
          <w:szCs w:val="18"/>
        </w:rPr>
      </w:pPr>
      <w:r w:rsidRPr="00A245AB">
        <w:rPr>
          <w:rFonts w:ascii="Times New Roman" w:hAnsi="Times New Roman" w:cs="Times New Roman"/>
          <w:b/>
          <w:color w:val="002060"/>
          <w:sz w:val="28"/>
          <w:szCs w:val="18"/>
        </w:rPr>
        <w:t>DOKTORI ISKOLÁK ESG-ALAPÚ AKKREDITÁCIÓS ELJÁRÁSA</w:t>
      </w:r>
    </w:p>
    <w:p w14:paraId="2BB2CFAF" w14:textId="2993C1EC" w:rsidR="00A31FD7" w:rsidRPr="00A245AB" w:rsidRDefault="00A63208" w:rsidP="009E15C1">
      <w:pPr>
        <w:spacing w:before="840" w:after="12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245AB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Útmutató a </w:t>
      </w:r>
      <w:r w:rsidR="00C10ABB" w:rsidRPr="00A245AB">
        <w:rPr>
          <w:rFonts w:ascii="Times New Roman" w:hAnsi="Times New Roman" w:cs="Times New Roman"/>
          <w:b/>
          <w:color w:val="002060"/>
          <w:sz w:val="44"/>
          <w:szCs w:val="44"/>
        </w:rPr>
        <w:t>monitorbeszámoló elkészítéséhez</w:t>
      </w:r>
    </w:p>
    <w:p w14:paraId="6DCA100C" w14:textId="2526248B" w:rsidR="00C10ABB" w:rsidRPr="00A245AB" w:rsidRDefault="0046768A" w:rsidP="00C10ABB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5AB">
        <w:rPr>
          <w:rFonts w:ascii="Times New Roman" w:hAnsi="Times New Roman" w:cs="Times New Roman"/>
          <w:b/>
          <w:color w:val="002060"/>
          <w:sz w:val="36"/>
          <w:szCs w:val="36"/>
        </w:rPr>
        <w:t>202</w:t>
      </w:r>
      <w:r w:rsidR="00C10ABB" w:rsidRPr="00A245AB">
        <w:rPr>
          <w:rFonts w:ascii="Times New Roman" w:hAnsi="Times New Roman" w:cs="Times New Roman"/>
          <w:b/>
          <w:color w:val="002060"/>
          <w:sz w:val="36"/>
          <w:szCs w:val="36"/>
        </w:rPr>
        <w:t>2</w:t>
      </w:r>
      <w:r w:rsidR="00C10ABB" w:rsidRPr="00A245AB">
        <w:rPr>
          <w:rFonts w:ascii="Times New Roman" w:hAnsi="Times New Roman" w:cs="Times New Roman"/>
          <w:b/>
          <w:sz w:val="30"/>
          <w:szCs w:val="24"/>
        </w:rPr>
        <w:br w:type="page"/>
      </w:r>
    </w:p>
    <w:p w14:paraId="38FC1D5D" w14:textId="77777777" w:rsidR="00481625" w:rsidRPr="00A245AB" w:rsidRDefault="00481625" w:rsidP="00370DA1">
      <w:pPr>
        <w:spacing w:after="0"/>
        <w:jc w:val="center"/>
        <w:rPr>
          <w:rFonts w:ascii="Times New Roman" w:hAnsi="Times New Roman" w:cs="Times New Roman"/>
          <w:b/>
          <w:sz w:val="30"/>
          <w:szCs w:val="24"/>
        </w:rPr>
      </w:pPr>
    </w:p>
    <w:p w14:paraId="57E328A5" w14:textId="128EF330" w:rsidR="009569A3" w:rsidRPr="00A245AB" w:rsidRDefault="00B87415" w:rsidP="00D11227">
      <w:pPr>
        <w:spacing w:after="0" w:line="240" w:lineRule="auto"/>
        <w:rPr>
          <w:rFonts w:ascii="Times New Roman" w:hAnsi="Times New Roman" w:cs="Times New Roman"/>
          <w:b/>
          <w:color w:val="002060"/>
          <w:sz w:val="34"/>
          <w:szCs w:val="32"/>
        </w:rPr>
      </w:pPr>
      <w:r w:rsidRPr="00A245AB">
        <w:rPr>
          <w:rFonts w:ascii="Times New Roman" w:hAnsi="Times New Roman" w:cs="Times New Roman"/>
          <w:b/>
          <w:color w:val="002060"/>
          <w:sz w:val="34"/>
          <w:szCs w:val="32"/>
        </w:rPr>
        <w:t>Tartalomjegyzék</w:t>
      </w:r>
    </w:p>
    <w:sdt>
      <w:sdtP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eastAsia="en-US"/>
        </w:rPr>
        <w:id w:val="-957254196"/>
        <w:docPartObj>
          <w:docPartGallery w:val="Table of Contents"/>
          <w:docPartUnique/>
        </w:docPartObj>
      </w:sdtPr>
      <w:sdtContent>
        <w:p w14:paraId="68F9F005" w14:textId="03D6391B" w:rsidR="00B87415" w:rsidRPr="00A7713C" w:rsidRDefault="00B87415" w:rsidP="00481625">
          <w:pPr>
            <w:pStyle w:val="Tartalomjegyzkcmsora"/>
            <w:numPr>
              <w:ilvl w:val="0"/>
              <w:numId w:val="0"/>
            </w:numPr>
            <w:rPr>
              <w:rFonts w:ascii="Times New Roman" w:hAnsi="Times New Roman" w:cs="Times New Roman"/>
              <w:color w:val="auto"/>
              <w:sz w:val="8"/>
              <w:szCs w:val="4"/>
            </w:rPr>
          </w:pPr>
        </w:p>
        <w:p w14:paraId="6E501ADB" w14:textId="20D2EF25" w:rsidR="00A7713C" w:rsidRPr="00A7713C" w:rsidRDefault="00B87415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hu-HU"/>
              <w14:ligatures w14:val="standardContextual"/>
            </w:rPr>
          </w:pPr>
          <w:r w:rsidRPr="00A7713C">
            <w:rPr>
              <w:rFonts w:ascii="Times New Roman" w:hAnsi="Times New Roman" w:cs="Times New Roman"/>
              <w:b w:val="0"/>
              <w:bCs w:val="0"/>
              <w:noProof w:val="0"/>
              <w:sz w:val="24"/>
              <w:szCs w:val="24"/>
            </w:rPr>
            <w:fldChar w:fldCharType="begin"/>
          </w:r>
          <w:r w:rsidRPr="00A7713C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A7713C">
            <w:rPr>
              <w:rFonts w:ascii="Times New Roman" w:hAnsi="Times New Roman" w:cs="Times New Roman"/>
              <w:b w:val="0"/>
              <w:bCs w:val="0"/>
              <w:noProof w:val="0"/>
              <w:sz w:val="24"/>
              <w:szCs w:val="24"/>
            </w:rPr>
            <w:fldChar w:fldCharType="separate"/>
          </w:r>
          <w:hyperlink w:anchor="_Toc161129679" w:history="1">
            <w:r w:rsidR="00A7713C" w:rsidRPr="00A7713C">
              <w:rPr>
                <w:rStyle w:val="Hiperhivatkozs"/>
                <w:rFonts w:ascii="Times New Roman" w:hAnsi="Times New Roman" w:cs="Times New Roman"/>
                <w:b w:val="0"/>
                <w:bCs w:val="0"/>
              </w:rPr>
              <w:t>1.</w:t>
            </w:r>
            <w:r w:rsidR="00A7713C" w:rsidRPr="00A7713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A7713C" w:rsidRPr="00A7713C">
              <w:rPr>
                <w:rStyle w:val="Hiperhivatkozs"/>
                <w:rFonts w:ascii="Times New Roman" w:hAnsi="Times New Roman" w:cs="Times New Roman"/>
                <w:b w:val="0"/>
                <w:bCs w:val="0"/>
              </w:rPr>
              <w:t>Bevezetés</w:t>
            </w:r>
            <w:r w:rsidR="00A7713C" w:rsidRPr="00A7713C">
              <w:rPr>
                <w:b w:val="0"/>
                <w:bCs w:val="0"/>
                <w:webHidden/>
              </w:rPr>
              <w:tab/>
            </w:r>
            <w:r w:rsidR="00A7713C" w:rsidRPr="00A7713C">
              <w:rPr>
                <w:b w:val="0"/>
                <w:bCs w:val="0"/>
                <w:webHidden/>
              </w:rPr>
              <w:fldChar w:fldCharType="begin"/>
            </w:r>
            <w:r w:rsidR="00A7713C" w:rsidRPr="00A7713C">
              <w:rPr>
                <w:b w:val="0"/>
                <w:bCs w:val="0"/>
                <w:webHidden/>
              </w:rPr>
              <w:instrText xml:space="preserve"> PAGEREF _Toc161129679 \h </w:instrText>
            </w:r>
            <w:r w:rsidR="00A7713C" w:rsidRPr="00A7713C">
              <w:rPr>
                <w:b w:val="0"/>
                <w:bCs w:val="0"/>
                <w:webHidden/>
              </w:rPr>
            </w:r>
            <w:r w:rsidR="00A7713C" w:rsidRPr="00A7713C">
              <w:rPr>
                <w:b w:val="0"/>
                <w:bCs w:val="0"/>
                <w:webHidden/>
              </w:rPr>
              <w:fldChar w:fldCharType="separate"/>
            </w:r>
            <w:r w:rsidR="002A4F8E">
              <w:rPr>
                <w:b w:val="0"/>
                <w:bCs w:val="0"/>
                <w:webHidden/>
              </w:rPr>
              <w:t>3</w:t>
            </w:r>
            <w:r w:rsidR="00A7713C" w:rsidRPr="00A7713C">
              <w:rPr>
                <w:b w:val="0"/>
                <w:bCs w:val="0"/>
                <w:webHidden/>
              </w:rPr>
              <w:fldChar w:fldCharType="end"/>
            </w:r>
          </w:hyperlink>
        </w:p>
        <w:p w14:paraId="12232E8F" w14:textId="274C4D75" w:rsidR="00A7713C" w:rsidRPr="00A7713C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61129680" w:history="1">
            <w:r w:rsidR="00A7713C" w:rsidRPr="00A7713C">
              <w:rPr>
                <w:rStyle w:val="Hiperhivatkozs"/>
                <w:rFonts w:ascii="Times New Roman" w:hAnsi="Times New Roman" w:cs="Times New Roman"/>
                <w:b w:val="0"/>
                <w:bCs w:val="0"/>
              </w:rPr>
              <w:t>2.</w:t>
            </w:r>
            <w:r w:rsidR="00A7713C" w:rsidRPr="00A7713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A7713C" w:rsidRPr="00A7713C">
              <w:rPr>
                <w:rStyle w:val="Hiperhivatkozs"/>
                <w:rFonts w:ascii="Times New Roman" w:hAnsi="Times New Roman" w:cs="Times New Roman"/>
                <w:b w:val="0"/>
                <w:bCs w:val="0"/>
              </w:rPr>
              <w:t>Értékelési folyamat</w:t>
            </w:r>
            <w:r w:rsidR="00A7713C" w:rsidRPr="00A7713C">
              <w:rPr>
                <w:b w:val="0"/>
                <w:bCs w:val="0"/>
                <w:webHidden/>
              </w:rPr>
              <w:tab/>
            </w:r>
            <w:r w:rsidR="00A7713C" w:rsidRPr="00A7713C">
              <w:rPr>
                <w:b w:val="0"/>
                <w:bCs w:val="0"/>
                <w:webHidden/>
              </w:rPr>
              <w:fldChar w:fldCharType="begin"/>
            </w:r>
            <w:r w:rsidR="00A7713C" w:rsidRPr="00A7713C">
              <w:rPr>
                <w:b w:val="0"/>
                <w:bCs w:val="0"/>
                <w:webHidden/>
              </w:rPr>
              <w:instrText xml:space="preserve"> PAGEREF _Toc161129680 \h </w:instrText>
            </w:r>
            <w:r w:rsidR="00A7713C" w:rsidRPr="00A7713C">
              <w:rPr>
                <w:b w:val="0"/>
                <w:bCs w:val="0"/>
                <w:webHidden/>
              </w:rPr>
            </w:r>
            <w:r w:rsidR="00A7713C" w:rsidRPr="00A7713C">
              <w:rPr>
                <w:b w:val="0"/>
                <w:bCs w:val="0"/>
                <w:webHidden/>
              </w:rPr>
              <w:fldChar w:fldCharType="separate"/>
            </w:r>
            <w:r w:rsidR="002A4F8E">
              <w:rPr>
                <w:b w:val="0"/>
                <w:bCs w:val="0"/>
                <w:webHidden/>
              </w:rPr>
              <w:t>3</w:t>
            </w:r>
            <w:r w:rsidR="00A7713C" w:rsidRPr="00A7713C">
              <w:rPr>
                <w:b w:val="0"/>
                <w:bCs w:val="0"/>
                <w:webHidden/>
              </w:rPr>
              <w:fldChar w:fldCharType="end"/>
            </w:r>
          </w:hyperlink>
        </w:p>
        <w:p w14:paraId="6ABDE61C" w14:textId="16C23B10" w:rsidR="00A7713C" w:rsidRPr="00A7713C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61129681" w:history="1">
            <w:r w:rsidR="00A7713C" w:rsidRPr="00A7713C">
              <w:rPr>
                <w:rStyle w:val="Hiperhivatkozs"/>
                <w:rFonts w:ascii="Times New Roman" w:hAnsi="Times New Roman" w:cs="Times New Roman"/>
                <w:b w:val="0"/>
                <w:bCs w:val="0"/>
              </w:rPr>
              <w:t>3.</w:t>
            </w:r>
            <w:r w:rsidR="00A7713C" w:rsidRPr="00A7713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A7713C" w:rsidRPr="00A7713C">
              <w:rPr>
                <w:rStyle w:val="Hiperhivatkozs"/>
                <w:rFonts w:ascii="Times New Roman" w:hAnsi="Times New Roman" w:cs="Times New Roman"/>
                <w:b w:val="0"/>
                <w:bCs w:val="0"/>
              </w:rPr>
              <w:t>Főbb irányelvek a monitorbeszámoló elkészítéséhez</w:t>
            </w:r>
            <w:r w:rsidR="00A7713C" w:rsidRPr="00A7713C">
              <w:rPr>
                <w:b w:val="0"/>
                <w:bCs w:val="0"/>
                <w:webHidden/>
              </w:rPr>
              <w:tab/>
            </w:r>
            <w:r w:rsidR="00A7713C" w:rsidRPr="00A7713C">
              <w:rPr>
                <w:b w:val="0"/>
                <w:bCs w:val="0"/>
                <w:webHidden/>
              </w:rPr>
              <w:fldChar w:fldCharType="begin"/>
            </w:r>
            <w:r w:rsidR="00A7713C" w:rsidRPr="00A7713C">
              <w:rPr>
                <w:b w:val="0"/>
                <w:bCs w:val="0"/>
                <w:webHidden/>
              </w:rPr>
              <w:instrText xml:space="preserve"> PAGEREF _Toc161129681 \h </w:instrText>
            </w:r>
            <w:r w:rsidR="00A7713C" w:rsidRPr="00A7713C">
              <w:rPr>
                <w:b w:val="0"/>
                <w:bCs w:val="0"/>
                <w:webHidden/>
              </w:rPr>
            </w:r>
            <w:r w:rsidR="00A7713C" w:rsidRPr="00A7713C">
              <w:rPr>
                <w:b w:val="0"/>
                <w:bCs w:val="0"/>
                <w:webHidden/>
              </w:rPr>
              <w:fldChar w:fldCharType="separate"/>
            </w:r>
            <w:r w:rsidR="002A4F8E">
              <w:rPr>
                <w:b w:val="0"/>
                <w:bCs w:val="0"/>
                <w:webHidden/>
              </w:rPr>
              <w:t>3</w:t>
            </w:r>
            <w:r w:rsidR="00A7713C" w:rsidRPr="00A7713C">
              <w:rPr>
                <w:b w:val="0"/>
                <w:bCs w:val="0"/>
                <w:webHidden/>
              </w:rPr>
              <w:fldChar w:fldCharType="end"/>
            </w:r>
          </w:hyperlink>
        </w:p>
        <w:p w14:paraId="1231A8ED" w14:textId="77A101CF" w:rsidR="00A7713C" w:rsidRPr="00A7713C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61129682" w:history="1">
            <w:r w:rsidR="00A7713C" w:rsidRPr="00A7713C">
              <w:rPr>
                <w:rStyle w:val="Hiperhivatkozs"/>
                <w:rFonts w:ascii="Times New Roman" w:hAnsi="Times New Roman" w:cs="Times New Roman"/>
                <w:b w:val="0"/>
                <w:bCs w:val="0"/>
              </w:rPr>
              <w:t>4.</w:t>
            </w:r>
            <w:r w:rsidR="00A7713C" w:rsidRPr="00A7713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A7713C" w:rsidRPr="00A7713C">
              <w:rPr>
                <w:rStyle w:val="Hiperhivatkozs"/>
                <w:rFonts w:ascii="Times New Roman" w:hAnsi="Times New Roman" w:cs="Times New Roman"/>
                <w:b w:val="0"/>
                <w:bCs w:val="0"/>
              </w:rPr>
              <w:t>Sablon a monitorbeszámolóhoz</w:t>
            </w:r>
            <w:r w:rsidR="00A7713C" w:rsidRPr="00A7713C">
              <w:rPr>
                <w:b w:val="0"/>
                <w:bCs w:val="0"/>
                <w:webHidden/>
              </w:rPr>
              <w:tab/>
            </w:r>
            <w:r w:rsidR="00A7713C" w:rsidRPr="00A7713C">
              <w:rPr>
                <w:b w:val="0"/>
                <w:bCs w:val="0"/>
                <w:webHidden/>
              </w:rPr>
              <w:fldChar w:fldCharType="begin"/>
            </w:r>
            <w:r w:rsidR="00A7713C" w:rsidRPr="00A7713C">
              <w:rPr>
                <w:b w:val="0"/>
                <w:bCs w:val="0"/>
                <w:webHidden/>
              </w:rPr>
              <w:instrText xml:space="preserve"> PAGEREF _Toc161129682 \h </w:instrText>
            </w:r>
            <w:r w:rsidR="00A7713C" w:rsidRPr="00A7713C">
              <w:rPr>
                <w:b w:val="0"/>
                <w:bCs w:val="0"/>
                <w:webHidden/>
              </w:rPr>
            </w:r>
            <w:r w:rsidR="00A7713C" w:rsidRPr="00A7713C">
              <w:rPr>
                <w:b w:val="0"/>
                <w:bCs w:val="0"/>
                <w:webHidden/>
              </w:rPr>
              <w:fldChar w:fldCharType="separate"/>
            </w:r>
            <w:r w:rsidR="002A4F8E">
              <w:rPr>
                <w:b w:val="0"/>
                <w:bCs w:val="0"/>
                <w:webHidden/>
              </w:rPr>
              <w:t>5</w:t>
            </w:r>
            <w:r w:rsidR="00A7713C" w:rsidRPr="00A7713C">
              <w:rPr>
                <w:b w:val="0"/>
                <w:bCs w:val="0"/>
                <w:webHidden/>
              </w:rPr>
              <w:fldChar w:fldCharType="end"/>
            </w:r>
          </w:hyperlink>
        </w:p>
        <w:p w14:paraId="5779D62B" w14:textId="162A3D07" w:rsidR="00B87415" w:rsidRPr="00A245AB" w:rsidRDefault="00B87415" w:rsidP="002815E9">
          <w:pPr>
            <w:pStyle w:val="TJ2"/>
            <w:ind w:left="0" w:firstLine="0"/>
            <w:rPr>
              <w:rFonts w:ascii="Times New Roman" w:hAnsi="Times New Roman" w:cs="Times New Roman"/>
            </w:rPr>
          </w:pPr>
          <w:r w:rsidRPr="00A7713C">
            <w:rPr>
              <w:rFonts w:ascii="Times New Roman" w:hAnsi="Times New Roman" w:cs="Times New Roman"/>
              <w:b w:val="0"/>
              <w:sz w:val="24"/>
              <w:szCs w:val="24"/>
            </w:rPr>
            <w:fldChar w:fldCharType="end"/>
          </w:r>
        </w:p>
      </w:sdtContent>
    </w:sdt>
    <w:p w14:paraId="6F06CA86" w14:textId="027F766C" w:rsidR="00E02884" w:rsidRPr="00337BF0" w:rsidRDefault="00B87415" w:rsidP="00D85DE3">
      <w:pPr>
        <w:pStyle w:val="Cmsor1"/>
        <w:spacing w:before="480" w:after="120"/>
        <w:ind w:left="357" w:hanging="357"/>
        <w:rPr>
          <w:rFonts w:ascii="Times New Roman" w:hAnsi="Times New Roman" w:cs="Times New Roman"/>
          <w:color w:val="002060"/>
        </w:rPr>
      </w:pPr>
      <w:r w:rsidRPr="00A245AB">
        <w:rPr>
          <w:b/>
          <w:sz w:val="20"/>
          <w:szCs w:val="20"/>
        </w:rPr>
        <w:br w:type="page"/>
      </w:r>
      <w:bookmarkStart w:id="0" w:name="_Toc535589070"/>
      <w:bookmarkStart w:id="1" w:name="_Toc535589478"/>
      <w:bookmarkStart w:id="2" w:name="_Toc535589571"/>
      <w:bookmarkStart w:id="3" w:name="_Toc161129679"/>
      <w:bookmarkEnd w:id="0"/>
      <w:bookmarkEnd w:id="1"/>
      <w:bookmarkEnd w:id="2"/>
      <w:r w:rsidR="00C10ABB" w:rsidRPr="00337BF0">
        <w:rPr>
          <w:rFonts w:ascii="Times New Roman" w:hAnsi="Times New Roman" w:cs="Times New Roman"/>
          <w:color w:val="002060"/>
        </w:rPr>
        <w:lastRenderedPageBreak/>
        <w:t>Bevezetés</w:t>
      </w:r>
      <w:bookmarkEnd w:id="3"/>
    </w:p>
    <w:p w14:paraId="64D3BC16" w14:textId="698A7F69" w:rsidR="00C10ABB" w:rsidRPr="00A245AB" w:rsidRDefault="00C10ABB" w:rsidP="00B8055A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A monitoreljárás célja annak követése, hogy a Doktori Iskola (a továbbiakban: DI) az akkreditációs eljárás óta eltelt időszakban, a MAB jelentésé</w:t>
      </w:r>
      <w:r w:rsidR="00DA219B">
        <w:rPr>
          <w:rFonts w:ascii="Times New Roman" w:hAnsi="Times New Roman" w:cs="Times New Roman"/>
          <w:sz w:val="24"/>
          <w:szCs w:val="24"/>
        </w:rPr>
        <w:t xml:space="preserve">nek I.2. </w:t>
      </w:r>
      <w:r w:rsidR="00723B1A" w:rsidRPr="00CF0C49">
        <w:rPr>
          <w:rFonts w:ascii="Times New Roman" w:hAnsi="Times New Roman" w:cs="Times New Roman"/>
          <w:i/>
          <w:iCs/>
          <w:sz w:val="24"/>
          <w:szCs w:val="24"/>
        </w:rPr>
        <w:t>A monitoreljárás feltételei</w:t>
      </w:r>
      <w:r w:rsidR="00DA219B">
        <w:rPr>
          <w:rFonts w:ascii="Times New Roman" w:hAnsi="Times New Roman" w:cs="Times New Roman"/>
          <w:sz w:val="24"/>
          <w:szCs w:val="24"/>
        </w:rPr>
        <w:t xml:space="preserve"> fejezeté</w:t>
      </w:r>
      <w:r w:rsidRPr="00A245AB">
        <w:rPr>
          <w:rFonts w:ascii="Times New Roman" w:hAnsi="Times New Roman" w:cs="Times New Roman"/>
          <w:sz w:val="24"/>
          <w:szCs w:val="24"/>
        </w:rPr>
        <w:t>ben</w:t>
      </w:r>
      <w:r w:rsidR="00D93E38">
        <w:rPr>
          <w:rFonts w:ascii="Times New Roman" w:hAnsi="Times New Roman" w:cs="Times New Roman"/>
          <w:sz w:val="24"/>
          <w:szCs w:val="24"/>
        </w:rPr>
        <w:t xml:space="preserve"> és/vagy a MAB Testület határozatában</w:t>
      </w:r>
      <w:r w:rsidRPr="00A245AB">
        <w:rPr>
          <w:rFonts w:ascii="Times New Roman" w:hAnsi="Times New Roman" w:cs="Times New Roman"/>
          <w:sz w:val="24"/>
          <w:szCs w:val="24"/>
        </w:rPr>
        <w:t xml:space="preserve"> megfogalmazott fejlesztési megállapításokra</w:t>
      </w:r>
      <w:r w:rsidR="00D93E38">
        <w:rPr>
          <w:rFonts w:ascii="Times New Roman" w:hAnsi="Times New Roman" w:cs="Times New Roman"/>
          <w:sz w:val="24"/>
          <w:szCs w:val="24"/>
        </w:rPr>
        <w:t xml:space="preserve"> </w:t>
      </w:r>
      <w:r w:rsidRPr="00A245AB">
        <w:rPr>
          <w:rFonts w:ascii="Times New Roman" w:hAnsi="Times New Roman" w:cs="Times New Roman"/>
          <w:sz w:val="24"/>
          <w:szCs w:val="24"/>
        </w:rPr>
        <w:t>hogyan reagált, milyen konkrét intézkedéseket hajtott végre.</w:t>
      </w:r>
    </w:p>
    <w:p w14:paraId="5CC33D79" w14:textId="0146C3C7" w:rsidR="00D109FC" w:rsidRPr="00A245AB" w:rsidRDefault="00C10ABB" w:rsidP="00F53198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A monitoreljárás segíti a DI-t abban, hogy maga is egy</w:t>
      </w:r>
      <w:r w:rsidR="00DA219B">
        <w:rPr>
          <w:rFonts w:ascii="Times New Roman" w:hAnsi="Times New Roman" w:cs="Times New Roman"/>
          <w:sz w:val="24"/>
          <w:szCs w:val="24"/>
        </w:rPr>
        <w:t>, a teljes idejű akkreditációnál rövidebb</w:t>
      </w:r>
      <w:r w:rsidR="00D93E38">
        <w:rPr>
          <w:rFonts w:ascii="Times New Roman" w:hAnsi="Times New Roman" w:cs="Times New Roman"/>
          <w:sz w:val="24"/>
          <w:szCs w:val="24"/>
        </w:rPr>
        <w:t xml:space="preserve"> </w:t>
      </w:r>
      <w:r w:rsidRPr="00A245AB">
        <w:rPr>
          <w:rFonts w:ascii="Times New Roman" w:hAnsi="Times New Roman" w:cs="Times New Roman"/>
          <w:sz w:val="24"/>
          <w:szCs w:val="24"/>
        </w:rPr>
        <w:t xml:space="preserve">periódusra visszatekintve elemezze minőségbiztosítási rendszerének tevékenységeit, jó gyakorlatait, fejlesztendő területeit és azokat </w:t>
      </w:r>
      <w:r w:rsidR="00456265" w:rsidRPr="00A245AB">
        <w:rPr>
          <w:rFonts w:ascii="Times New Roman" w:hAnsi="Times New Roman" w:cs="Times New Roman"/>
          <w:sz w:val="24"/>
          <w:szCs w:val="24"/>
        </w:rPr>
        <w:t>az Európai Felsőoktatási Térség minőségbiztosítási irányelvei</w:t>
      </w:r>
      <w:r w:rsidR="002427A0">
        <w:rPr>
          <w:rFonts w:ascii="Times New Roman" w:hAnsi="Times New Roman" w:cs="Times New Roman"/>
          <w:sz w:val="24"/>
          <w:szCs w:val="24"/>
        </w:rPr>
        <w:t>nek</w:t>
      </w:r>
      <w:r w:rsidR="00456265" w:rsidRPr="00A245AB">
        <w:rPr>
          <w:rFonts w:ascii="Times New Roman" w:hAnsi="Times New Roman" w:cs="Times New Roman"/>
          <w:sz w:val="24"/>
          <w:szCs w:val="24"/>
        </w:rPr>
        <w:t xml:space="preserve"> és sztenderdjei</w:t>
      </w:r>
      <w:r w:rsidR="00723B1A">
        <w:rPr>
          <w:rFonts w:ascii="Times New Roman" w:hAnsi="Times New Roman" w:cs="Times New Roman"/>
          <w:sz w:val="24"/>
          <w:szCs w:val="24"/>
        </w:rPr>
        <w:t>nek</w:t>
      </w:r>
      <w:r w:rsidR="00456265" w:rsidRPr="00A245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6265" w:rsidRPr="00A245AB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="00456265" w:rsidRPr="00A245A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56265" w:rsidRPr="00A245AB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456265" w:rsidRPr="00A24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265" w:rsidRPr="00A245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56265" w:rsidRPr="00A24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265" w:rsidRPr="00A245A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456265" w:rsidRPr="00A24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265" w:rsidRPr="00A245AB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="00456265" w:rsidRPr="00A245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56265" w:rsidRPr="00A245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6265" w:rsidRPr="00A245AB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="00456265" w:rsidRPr="00A245AB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456265" w:rsidRPr="00A245AB">
        <w:rPr>
          <w:rFonts w:ascii="Times New Roman" w:hAnsi="Times New Roman" w:cs="Times New Roman"/>
          <w:sz w:val="24"/>
          <w:szCs w:val="24"/>
        </w:rPr>
        <w:t xml:space="preserve"> Education </w:t>
      </w:r>
      <w:proofErr w:type="spellStart"/>
      <w:r w:rsidR="00456265" w:rsidRPr="00A245AB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456265" w:rsidRPr="00A245AB">
        <w:rPr>
          <w:rFonts w:ascii="Times New Roman" w:hAnsi="Times New Roman" w:cs="Times New Roman"/>
          <w:sz w:val="24"/>
          <w:szCs w:val="24"/>
        </w:rPr>
        <w:t>, rövidítve: ESG</w:t>
      </w:r>
      <w:r w:rsidR="00723B1A">
        <w:rPr>
          <w:rFonts w:ascii="Times New Roman" w:hAnsi="Times New Roman" w:cs="Times New Roman"/>
          <w:sz w:val="24"/>
          <w:szCs w:val="24"/>
        </w:rPr>
        <w:t xml:space="preserve"> 2015</w:t>
      </w:r>
      <w:r w:rsidR="00456265" w:rsidRPr="00A245AB">
        <w:rPr>
          <w:rFonts w:ascii="Times New Roman" w:hAnsi="Times New Roman" w:cs="Times New Roman"/>
          <w:sz w:val="24"/>
          <w:szCs w:val="24"/>
        </w:rPr>
        <w:t>)</w:t>
      </w:r>
      <w:r w:rsidRPr="00A245AB">
        <w:rPr>
          <w:rFonts w:ascii="Times New Roman" w:hAnsi="Times New Roman" w:cs="Times New Roman"/>
          <w:sz w:val="24"/>
          <w:szCs w:val="24"/>
        </w:rPr>
        <w:t xml:space="preserve"> megfeleltesse.</w:t>
      </w:r>
    </w:p>
    <w:p w14:paraId="7AEAF250" w14:textId="7228E685" w:rsidR="00B856A5" w:rsidRPr="00337BF0" w:rsidRDefault="00A20F8D" w:rsidP="00F53198">
      <w:pPr>
        <w:pStyle w:val="Cmsor1"/>
        <w:spacing w:before="480" w:after="120"/>
        <w:ind w:left="357" w:hanging="357"/>
        <w:rPr>
          <w:rFonts w:ascii="Times New Roman" w:hAnsi="Times New Roman" w:cs="Times New Roman"/>
          <w:color w:val="002060"/>
        </w:rPr>
      </w:pPr>
      <w:bookmarkStart w:id="4" w:name="_Toc161129680"/>
      <w:r w:rsidRPr="00337BF0">
        <w:rPr>
          <w:rFonts w:ascii="Times New Roman" w:hAnsi="Times New Roman" w:cs="Times New Roman"/>
          <w:color w:val="002060"/>
        </w:rPr>
        <w:t>Értékelés</w:t>
      </w:r>
      <w:r w:rsidR="00CE096B" w:rsidRPr="00337BF0">
        <w:rPr>
          <w:rFonts w:ascii="Times New Roman" w:hAnsi="Times New Roman" w:cs="Times New Roman"/>
          <w:color w:val="002060"/>
        </w:rPr>
        <w:t>i folyamat</w:t>
      </w:r>
      <w:bookmarkEnd w:id="4"/>
    </w:p>
    <w:p w14:paraId="3F779B12" w14:textId="54050CF4" w:rsidR="003F0F9F" w:rsidRPr="00A245AB" w:rsidRDefault="00CE096B" w:rsidP="00D3537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 xml:space="preserve">A DI a MAB Testület határozatában rögzített határidőig benyújtja a MAB-nak monitorbeszámolóját, melyben részletesen ismerteti az akkreditációs jelentésben felsorolt hiányosságok pótlására tett intézkedéseket. </w:t>
      </w:r>
      <w:r w:rsidR="003F0F9F" w:rsidRPr="00D93E3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3F0F9F" w:rsidRPr="00D93E38">
        <w:rPr>
          <w:rFonts w:ascii="Times New Roman" w:hAnsi="Times New Roman" w:cs="Times New Roman"/>
          <w:b/>
          <w:bCs/>
          <w:sz w:val="24"/>
          <w:szCs w:val="24"/>
        </w:rPr>
        <w:t>pótolandó</w:t>
      </w:r>
      <w:proofErr w:type="spellEnd"/>
      <w:r w:rsidR="003F0F9F" w:rsidRPr="00D93E38">
        <w:rPr>
          <w:rFonts w:ascii="Times New Roman" w:hAnsi="Times New Roman" w:cs="Times New Roman"/>
          <w:b/>
          <w:bCs/>
          <w:sz w:val="24"/>
          <w:szCs w:val="24"/>
        </w:rPr>
        <w:t xml:space="preserve"> hiányosságok felsorolása az akkreditációs jelentés I.2. fejezetében található</w:t>
      </w:r>
      <w:r w:rsidR="00337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B5B">
        <w:rPr>
          <w:rFonts w:ascii="Times New Roman" w:hAnsi="Times New Roman" w:cs="Times New Roman"/>
          <w:b/>
          <w:bCs/>
          <w:sz w:val="24"/>
          <w:szCs w:val="24"/>
        </w:rPr>
        <w:t>(és/vagy a MAB Testület határozatában).</w:t>
      </w:r>
    </w:p>
    <w:p w14:paraId="7621E3D6" w14:textId="12D15A99" w:rsidR="003F0F9F" w:rsidRPr="00A245AB" w:rsidRDefault="00CE096B" w:rsidP="00D109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 xml:space="preserve">A MAB a beszámoló beérkezését követő 30 munkanapon belül jelzi a </w:t>
      </w:r>
      <w:proofErr w:type="gramStart"/>
      <w:r w:rsidRPr="00A245AB">
        <w:rPr>
          <w:rFonts w:ascii="Times New Roman" w:hAnsi="Times New Roman" w:cs="Times New Roman"/>
          <w:sz w:val="24"/>
          <w:szCs w:val="24"/>
        </w:rPr>
        <w:t>DI-</w:t>
      </w:r>
      <w:proofErr w:type="spellStart"/>
      <w:r w:rsidRPr="00A245AB">
        <w:rPr>
          <w:rFonts w:ascii="Times New Roman" w:hAnsi="Times New Roman" w:cs="Times New Roman"/>
          <w:sz w:val="24"/>
          <w:szCs w:val="24"/>
        </w:rPr>
        <w:t>nek</w:t>
      </w:r>
      <w:proofErr w:type="spellEnd"/>
      <w:proofErr w:type="gramEnd"/>
      <w:r w:rsidRPr="00A245AB">
        <w:rPr>
          <w:rFonts w:ascii="Times New Roman" w:hAnsi="Times New Roman" w:cs="Times New Roman"/>
          <w:sz w:val="24"/>
          <w:szCs w:val="24"/>
        </w:rPr>
        <w:t xml:space="preserve"> ha helyszíni látogatást is szükségesnek tart</w:t>
      </w:r>
      <w:r w:rsidR="009333D1" w:rsidRPr="00A245AB">
        <w:rPr>
          <w:rFonts w:ascii="Times New Roman" w:hAnsi="Times New Roman" w:cs="Times New Roman"/>
          <w:sz w:val="24"/>
          <w:szCs w:val="24"/>
        </w:rPr>
        <w:t xml:space="preserve"> (amennyiben nem személyes látogatással egybekötött monitoreljárás lefolytatásáról rendelkezett az akkreditációs határozat)</w:t>
      </w:r>
      <w:r w:rsidRPr="00A245AB">
        <w:rPr>
          <w:rFonts w:ascii="Times New Roman" w:hAnsi="Times New Roman" w:cs="Times New Roman"/>
          <w:sz w:val="24"/>
          <w:szCs w:val="24"/>
        </w:rPr>
        <w:t>.</w:t>
      </w:r>
    </w:p>
    <w:p w14:paraId="69D5C238" w14:textId="048D66FE" w:rsidR="00CE096B" w:rsidRPr="00A245AB" w:rsidRDefault="003F0F9F" w:rsidP="00D109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 xml:space="preserve">A monitoreljárásban a látogatás lehet online (Microsoft </w:t>
      </w:r>
      <w:proofErr w:type="spellStart"/>
      <w:r w:rsidRPr="00A245AB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A245AB">
        <w:rPr>
          <w:rFonts w:ascii="Times New Roman" w:hAnsi="Times New Roman" w:cs="Times New Roman"/>
          <w:sz w:val="24"/>
          <w:szCs w:val="24"/>
        </w:rPr>
        <w:t>), vagy személyes látogatás is. A monitoreljárá</w:t>
      </w:r>
      <w:r w:rsidR="2FF34179" w:rsidRPr="00A245AB">
        <w:rPr>
          <w:rFonts w:ascii="Times New Roman" w:hAnsi="Times New Roman" w:cs="Times New Roman"/>
          <w:sz w:val="24"/>
          <w:szCs w:val="24"/>
        </w:rPr>
        <w:t>s</w:t>
      </w:r>
      <w:r w:rsidRPr="00A245AB">
        <w:rPr>
          <w:rFonts w:ascii="Times New Roman" w:hAnsi="Times New Roman" w:cs="Times New Roman"/>
          <w:sz w:val="24"/>
          <w:szCs w:val="24"/>
        </w:rPr>
        <w:t xml:space="preserve">ban – hasonlóan az akkreditációs eljáráshoz – a látogatás panelbeszélgetések formájában zajlik, melynek rendjét és a résztvevők körét a MAB határozza meg. A monitoreljárás az intézmény és a DI szűkebb körét érinti és </w:t>
      </w:r>
      <w:proofErr w:type="spellStart"/>
      <w:r w:rsidRPr="00A245AB">
        <w:rPr>
          <w:rFonts w:ascii="Times New Roman" w:hAnsi="Times New Roman" w:cs="Times New Roman"/>
          <w:sz w:val="24"/>
          <w:szCs w:val="24"/>
        </w:rPr>
        <w:t>célzottabb</w:t>
      </w:r>
      <w:proofErr w:type="spellEnd"/>
      <w:r w:rsidRPr="00A245AB">
        <w:rPr>
          <w:rFonts w:ascii="Times New Roman" w:hAnsi="Times New Roman" w:cs="Times New Roman"/>
          <w:sz w:val="24"/>
          <w:szCs w:val="24"/>
        </w:rPr>
        <w:t xml:space="preserve"> interjúkra kerül sor.</w:t>
      </w:r>
    </w:p>
    <w:p w14:paraId="08094606" w14:textId="730180BE" w:rsidR="00631DDB" w:rsidRPr="00A245AB" w:rsidRDefault="003F0F9F" w:rsidP="00D109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Amennyiben a benyújtott monitorbeszámoló alapján bizonyos fejlesztések teljesülése nem egyértelműen beazonosítható, a MAB kijelölt szakreferense hiánypótlást kérhet a DI-</w:t>
      </w:r>
      <w:proofErr w:type="spellStart"/>
      <w:r w:rsidRPr="00A245AB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A245AB">
        <w:rPr>
          <w:rFonts w:ascii="Times New Roman" w:hAnsi="Times New Roman" w:cs="Times New Roman"/>
          <w:sz w:val="24"/>
          <w:szCs w:val="24"/>
        </w:rPr>
        <w:t xml:space="preserve"> a monitoreljárás</w:t>
      </w:r>
      <w:r w:rsidR="00DA219B">
        <w:rPr>
          <w:rFonts w:ascii="Times New Roman" w:hAnsi="Times New Roman" w:cs="Times New Roman"/>
          <w:sz w:val="24"/>
          <w:szCs w:val="24"/>
        </w:rPr>
        <w:t xml:space="preserve"> során</w:t>
      </w:r>
      <w:r w:rsidRPr="00A245AB">
        <w:rPr>
          <w:rFonts w:ascii="Times New Roman" w:hAnsi="Times New Roman" w:cs="Times New Roman"/>
          <w:sz w:val="24"/>
          <w:szCs w:val="24"/>
        </w:rPr>
        <w:t>.</w:t>
      </w:r>
    </w:p>
    <w:p w14:paraId="3AACEAD8" w14:textId="3FB4E139" w:rsidR="003F0F9F" w:rsidRPr="00A245AB" w:rsidRDefault="00A20F8D" w:rsidP="00D109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A</w:t>
      </w:r>
      <w:r w:rsidR="009333D1" w:rsidRPr="00A245AB">
        <w:rPr>
          <w:rFonts w:ascii="Times New Roman" w:hAnsi="Times New Roman" w:cs="Times New Roman"/>
          <w:sz w:val="24"/>
          <w:szCs w:val="24"/>
        </w:rPr>
        <w:t xml:space="preserve"> MAB igyekszik a monitoreljárást a</w:t>
      </w:r>
      <w:r w:rsidRPr="00A245AB">
        <w:rPr>
          <w:rFonts w:ascii="Times New Roman" w:hAnsi="Times New Roman" w:cs="Times New Roman"/>
          <w:sz w:val="24"/>
          <w:szCs w:val="24"/>
        </w:rPr>
        <w:t xml:space="preserve">z </w:t>
      </w:r>
      <w:r w:rsidR="003F0F9F" w:rsidRPr="00A245AB">
        <w:rPr>
          <w:rFonts w:ascii="Times New Roman" w:hAnsi="Times New Roman" w:cs="Times New Roman"/>
          <w:sz w:val="24"/>
          <w:szCs w:val="24"/>
        </w:rPr>
        <w:t>eredeti látogató</w:t>
      </w:r>
      <w:r w:rsidRPr="00A245AB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9333D1" w:rsidRPr="00A245AB">
        <w:rPr>
          <w:rFonts w:ascii="Times New Roman" w:hAnsi="Times New Roman" w:cs="Times New Roman"/>
          <w:sz w:val="24"/>
          <w:szCs w:val="24"/>
        </w:rPr>
        <w:t>gal le</w:t>
      </w:r>
      <w:r w:rsidR="003F0F9F" w:rsidRPr="00A245AB">
        <w:rPr>
          <w:rFonts w:ascii="Times New Roman" w:hAnsi="Times New Roman" w:cs="Times New Roman"/>
          <w:sz w:val="24"/>
          <w:szCs w:val="24"/>
        </w:rPr>
        <w:t>folytatni. Amennyiben ez akadályba ütközik (pl. összeférhetetlenség alakul ki),</w:t>
      </w:r>
      <w:r w:rsidR="00723B1A">
        <w:rPr>
          <w:rFonts w:ascii="Times New Roman" w:hAnsi="Times New Roman" w:cs="Times New Roman"/>
          <w:sz w:val="24"/>
          <w:szCs w:val="24"/>
        </w:rPr>
        <w:t xml:space="preserve"> csökkent létszámú bizottság értékeli a DI-t, vagy akár</w:t>
      </w:r>
      <w:r w:rsidRPr="00A245AB">
        <w:rPr>
          <w:rFonts w:ascii="Times New Roman" w:hAnsi="Times New Roman" w:cs="Times New Roman"/>
          <w:sz w:val="24"/>
          <w:szCs w:val="24"/>
        </w:rPr>
        <w:t xml:space="preserve"> új </w:t>
      </w:r>
      <w:r w:rsidR="00723B1A">
        <w:rPr>
          <w:rFonts w:ascii="Times New Roman" w:hAnsi="Times New Roman" w:cs="Times New Roman"/>
          <w:sz w:val="24"/>
          <w:szCs w:val="24"/>
        </w:rPr>
        <w:t xml:space="preserve">szakértő </w:t>
      </w:r>
      <w:r w:rsidRPr="00A245AB">
        <w:rPr>
          <w:rFonts w:ascii="Times New Roman" w:hAnsi="Times New Roman" w:cs="Times New Roman"/>
          <w:sz w:val="24"/>
          <w:szCs w:val="24"/>
        </w:rPr>
        <w:t>is felkérhető.</w:t>
      </w:r>
    </w:p>
    <w:p w14:paraId="51F5256C" w14:textId="4ADC1A35" w:rsidR="00A20F8D" w:rsidRPr="00A245AB" w:rsidRDefault="00631DDB" w:rsidP="00D109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A</w:t>
      </w:r>
      <w:r w:rsidR="00CE096B" w:rsidRPr="00A245AB">
        <w:rPr>
          <w:rFonts w:ascii="Times New Roman" w:hAnsi="Times New Roman" w:cs="Times New Roman"/>
          <w:sz w:val="24"/>
          <w:szCs w:val="24"/>
        </w:rPr>
        <w:t xml:space="preserve">mennyiben </w:t>
      </w:r>
      <w:r w:rsidRPr="00A245AB">
        <w:rPr>
          <w:rFonts w:ascii="Times New Roman" w:hAnsi="Times New Roman" w:cs="Times New Roman"/>
          <w:sz w:val="24"/>
          <w:szCs w:val="24"/>
        </w:rPr>
        <w:t xml:space="preserve">az akkreditációs jelentésben rögzített fejlesztések, hiányosságok </w:t>
      </w:r>
      <w:r w:rsidR="00CE096B" w:rsidRPr="00A245AB">
        <w:rPr>
          <w:rFonts w:ascii="Times New Roman" w:hAnsi="Times New Roman" w:cs="Times New Roman"/>
          <w:sz w:val="24"/>
          <w:szCs w:val="24"/>
        </w:rPr>
        <w:t>pótlása nem történik meg az előírt határidőre</w:t>
      </w:r>
      <w:r w:rsidR="00723B1A">
        <w:rPr>
          <w:rFonts w:ascii="Times New Roman" w:hAnsi="Times New Roman" w:cs="Times New Roman"/>
          <w:sz w:val="24"/>
          <w:szCs w:val="24"/>
        </w:rPr>
        <w:t>, valamint nem igazolható érdemi előrelépés a jelzett területeken</w:t>
      </w:r>
      <w:r w:rsidR="00CE096B" w:rsidRPr="00A245AB">
        <w:rPr>
          <w:rFonts w:ascii="Times New Roman" w:hAnsi="Times New Roman" w:cs="Times New Roman"/>
          <w:sz w:val="24"/>
          <w:szCs w:val="24"/>
        </w:rPr>
        <w:t xml:space="preserve">, a MAB megvonja az akkreditációt a </w:t>
      </w:r>
      <w:r w:rsidRPr="00A245AB">
        <w:rPr>
          <w:rFonts w:ascii="Times New Roman" w:hAnsi="Times New Roman" w:cs="Times New Roman"/>
          <w:sz w:val="24"/>
          <w:szCs w:val="24"/>
        </w:rPr>
        <w:t>DI-</w:t>
      </w:r>
      <w:proofErr w:type="spellStart"/>
      <w:r w:rsidRPr="00A245AB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="00CE096B" w:rsidRPr="00A245AB">
        <w:rPr>
          <w:rFonts w:ascii="Times New Roman" w:hAnsi="Times New Roman" w:cs="Times New Roman"/>
          <w:sz w:val="24"/>
          <w:szCs w:val="24"/>
        </w:rPr>
        <w:t>.</w:t>
      </w:r>
    </w:p>
    <w:p w14:paraId="2F77E3C6" w14:textId="092814E4" w:rsidR="00A20F8D" w:rsidRPr="00337BF0" w:rsidRDefault="00A20F8D" w:rsidP="00F53198">
      <w:pPr>
        <w:pStyle w:val="Cmsor1"/>
        <w:spacing w:before="480" w:after="120"/>
        <w:ind w:left="357" w:hanging="357"/>
        <w:rPr>
          <w:rFonts w:ascii="Times New Roman" w:hAnsi="Times New Roman" w:cs="Times New Roman"/>
          <w:color w:val="002060"/>
        </w:rPr>
      </w:pPr>
      <w:bookmarkStart w:id="5" w:name="_Toc161129681"/>
      <w:r w:rsidRPr="00337BF0">
        <w:rPr>
          <w:rFonts w:ascii="Times New Roman" w:hAnsi="Times New Roman" w:cs="Times New Roman"/>
          <w:color w:val="002060"/>
        </w:rPr>
        <w:t>Főbb irányelvek a monitorbeszámoló elkészítéséhez</w:t>
      </w:r>
      <w:bookmarkEnd w:id="5"/>
    </w:p>
    <w:p w14:paraId="03ED4067" w14:textId="07292AA6" w:rsidR="00A20F8D" w:rsidRPr="00A245AB" w:rsidRDefault="00A20F8D" w:rsidP="00D3537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 xml:space="preserve">Az értékelés folyamatát segíti, megkönnyíti, ha </w:t>
      </w:r>
      <w:r w:rsidR="008F2BD6" w:rsidRPr="00A245AB">
        <w:rPr>
          <w:rFonts w:ascii="Times New Roman" w:hAnsi="Times New Roman" w:cs="Times New Roman"/>
          <w:sz w:val="24"/>
          <w:szCs w:val="24"/>
        </w:rPr>
        <w:t xml:space="preserve">a DI </w:t>
      </w:r>
      <w:r w:rsidRPr="00A245AB">
        <w:rPr>
          <w:rFonts w:ascii="Times New Roman" w:hAnsi="Times New Roman" w:cs="Times New Roman"/>
          <w:sz w:val="24"/>
          <w:szCs w:val="24"/>
        </w:rPr>
        <w:t>konkrét – nem általánosan, elvontan megfogalmazott – intézkedéseket mutat</w:t>
      </w:r>
      <w:r w:rsidR="00FF2A90" w:rsidRPr="00A245AB">
        <w:rPr>
          <w:rFonts w:ascii="Times New Roman" w:hAnsi="Times New Roman" w:cs="Times New Roman"/>
          <w:sz w:val="24"/>
          <w:szCs w:val="24"/>
        </w:rPr>
        <w:t xml:space="preserve"> be</w:t>
      </w:r>
      <w:r w:rsidR="00DA219B">
        <w:rPr>
          <w:rFonts w:ascii="Times New Roman" w:hAnsi="Times New Roman" w:cs="Times New Roman"/>
          <w:sz w:val="24"/>
          <w:szCs w:val="24"/>
        </w:rPr>
        <w:t xml:space="preserve"> és</w:t>
      </w:r>
      <w:r w:rsidRPr="00A245AB">
        <w:rPr>
          <w:rFonts w:ascii="Times New Roman" w:hAnsi="Times New Roman" w:cs="Times New Roman"/>
          <w:sz w:val="24"/>
          <w:szCs w:val="24"/>
        </w:rPr>
        <w:t xml:space="preserve"> </w:t>
      </w:r>
      <w:r w:rsidR="008F2BD6" w:rsidRPr="00A245AB">
        <w:rPr>
          <w:rFonts w:ascii="Times New Roman" w:hAnsi="Times New Roman" w:cs="Times New Roman"/>
          <w:sz w:val="24"/>
          <w:szCs w:val="24"/>
        </w:rPr>
        <w:t xml:space="preserve">azokat </w:t>
      </w:r>
      <w:r w:rsidRPr="00A245AB">
        <w:rPr>
          <w:rFonts w:ascii="Times New Roman" w:hAnsi="Times New Roman" w:cs="Times New Roman"/>
          <w:sz w:val="24"/>
          <w:szCs w:val="24"/>
        </w:rPr>
        <w:t>dokumentumokkal alátámaszt</w:t>
      </w:r>
      <w:r w:rsidR="00DA219B">
        <w:rPr>
          <w:rFonts w:ascii="Times New Roman" w:hAnsi="Times New Roman" w:cs="Times New Roman"/>
          <w:sz w:val="24"/>
          <w:szCs w:val="24"/>
        </w:rPr>
        <w:t>j</w:t>
      </w:r>
      <w:r w:rsidRPr="00A245AB">
        <w:rPr>
          <w:rFonts w:ascii="Times New Roman" w:hAnsi="Times New Roman" w:cs="Times New Roman"/>
          <w:sz w:val="24"/>
          <w:szCs w:val="24"/>
        </w:rPr>
        <w:t>a.</w:t>
      </w:r>
    </w:p>
    <w:p w14:paraId="31982B55" w14:textId="5155D302" w:rsidR="00CC4757" w:rsidRPr="00A245AB" w:rsidRDefault="00CC4757" w:rsidP="00D3537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lastRenderedPageBreak/>
        <w:t>Az</w:t>
      </w:r>
      <w:r w:rsidR="00346697" w:rsidRPr="00A245AB">
        <w:rPr>
          <w:rFonts w:ascii="Times New Roman" w:hAnsi="Times New Roman" w:cs="Times New Roman"/>
          <w:sz w:val="24"/>
          <w:szCs w:val="24"/>
        </w:rPr>
        <w:t xml:space="preserve"> akkreditációs jelentés</w:t>
      </w:r>
      <w:r w:rsidRPr="00A245AB">
        <w:rPr>
          <w:rFonts w:ascii="Times New Roman" w:hAnsi="Times New Roman" w:cs="Times New Roman"/>
          <w:sz w:val="24"/>
          <w:szCs w:val="24"/>
        </w:rPr>
        <w:t xml:space="preserve"> egyes ESG-</w:t>
      </w:r>
      <w:r w:rsidR="00346697" w:rsidRPr="00A245AB">
        <w:rPr>
          <w:rFonts w:ascii="Times New Roman" w:hAnsi="Times New Roman" w:cs="Times New Roman"/>
          <w:sz w:val="24"/>
          <w:szCs w:val="24"/>
        </w:rPr>
        <w:t>sztenderdeket</w:t>
      </w:r>
      <w:r w:rsidRPr="00A245AB">
        <w:rPr>
          <w:rFonts w:ascii="Times New Roman" w:hAnsi="Times New Roman" w:cs="Times New Roman"/>
          <w:sz w:val="24"/>
          <w:szCs w:val="24"/>
        </w:rPr>
        <w:t xml:space="preserve"> tárgyaló fejezete</w:t>
      </w:r>
      <w:r w:rsidR="00346697" w:rsidRPr="00A245AB">
        <w:rPr>
          <w:rFonts w:ascii="Times New Roman" w:hAnsi="Times New Roman" w:cs="Times New Roman"/>
          <w:sz w:val="24"/>
          <w:szCs w:val="24"/>
        </w:rPr>
        <w:t>i</w:t>
      </w:r>
      <w:r w:rsidRPr="00A245AB">
        <w:rPr>
          <w:rFonts w:ascii="Times New Roman" w:hAnsi="Times New Roman" w:cs="Times New Roman"/>
          <w:sz w:val="24"/>
          <w:szCs w:val="24"/>
        </w:rPr>
        <w:t xml:space="preserve"> végén a Bizottság által megfontolásra </w:t>
      </w:r>
      <w:r w:rsidR="00313B5B">
        <w:rPr>
          <w:rFonts w:ascii="Times New Roman" w:hAnsi="Times New Roman" w:cs="Times New Roman"/>
          <w:sz w:val="24"/>
          <w:szCs w:val="24"/>
        </w:rPr>
        <w:t>javasolt „Ajánlások”</w:t>
      </w:r>
      <w:r w:rsidRPr="00A245AB">
        <w:rPr>
          <w:rFonts w:ascii="Times New Roman" w:hAnsi="Times New Roman" w:cs="Times New Roman"/>
          <w:sz w:val="24"/>
          <w:szCs w:val="24"/>
        </w:rPr>
        <w:t xml:space="preserve"> találhatók. Mérlegelésüket a DI-re bízza a Bizottság, teljesülésüket külön nem vizsgálja, ugyanakkor teljesítésük a DI minőségbiztosítási iránti elkötelezettségét mutatja.</w:t>
      </w:r>
    </w:p>
    <w:p w14:paraId="3A892D5F" w14:textId="265BB671" w:rsidR="008F2BD6" w:rsidRPr="00A245AB" w:rsidRDefault="008F2BD6" w:rsidP="007205F3">
      <w:pPr>
        <w:spacing w:before="240" w:after="6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A245A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Formai követelmények</w:t>
      </w:r>
    </w:p>
    <w:p w14:paraId="7379DE92" w14:textId="77777777" w:rsidR="00067B04" w:rsidRPr="00A245AB" w:rsidRDefault="008F2BD6" w:rsidP="00D3537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A monitorbeszámolót</w:t>
      </w:r>
    </w:p>
    <w:p w14:paraId="4E227C13" w14:textId="77777777" w:rsidR="00067B04" w:rsidRPr="00A245AB" w:rsidRDefault="00A20F8D" w:rsidP="00067B04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12-es betűméret használatával,</w:t>
      </w:r>
    </w:p>
    <w:p w14:paraId="451FEDC4" w14:textId="77777777" w:rsidR="00067B04" w:rsidRPr="00A245AB" w:rsidRDefault="00A20F8D" w:rsidP="00067B04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szimpla sorközzel</w:t>
      </w:r>
      <w:r w:rsidR="00067B04" w:rsidRPr="00A245AB">
        <w:rPr>
          <w:rFonts w:ascii="Times New Roman" w:hAnsi="Times New Roman" w:cs="Times New Roman"/>
          <w:sz w:val="24"/>
          <w:szCs w:val="24"/>
        </w:rPr>
        <w:t>,</w:t>
      </w:r>
    </w:p>
    <w:p w14:paraId="772EBE38" w14:textId="77777777" w:rsidR="00067B04" w:rsidRPr="00A245AB" w:rsidRDefault="00A20F8D" w:rsidP="00067B04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5A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A245AB">
        <w:rPr>
          <w:rFonts w:ascii="Times New Roman" w:hAnsi="Times New Roman" w:cs="Times New Roman"/>
          <w:sz w:val="24"/>
          <w:szCs w:val="24"/>
        </w:rPr>
        <w:t xml:space="preserve">. </w:t>
      </w:r>
      <w:r w:rsidR="008F2BD6" w:rsidRPr="00A245AB">
        <w:rPr>
          <w:rFonts w:ascii="Times New Roman" w:hAnsi="Times New Roman" w:cs="Times New Roman"/>
          <w:sz w:val="24"/>
          <w:szCs w:val="24"/>
        </w:rPr>
        <w:t>3</w:t>
      </w:r>
      <w:r w:rsidRPr="00A24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A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A245AB">
        <w:rPr>
          <w:rFonts w:ascii="Times New Roman" w:hAnsi="Times New Roman" w:cs="Times New Roman"/>
          <w:sz w:val="24"/>
          <w:szCs w:val="24"/>
        </w:rPr>
        <w:t xml:space="preserve"> térközzel,</w:t>
      </w:r>
    </w:p>
    <w:p w14:paraId="0FB668F7" w14:textId="193119B8" w:rsidR="00067B04" w:rsidRPr="00A245AB" w:rsidRDefault="00A20F8D" w:rsidP="00067B04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normál margóméret</w:t>
      </w:r>
      <w:r w:rsidR="003860D6">
        <w:rPr>
          <w:rFonts w:ascii="Times New Roman" w:hAnsi="Times New Roman" w:cs="Times New Roman"/>
          <w:sz w:val="24"/>
          <w:szCs w:val="24"/>
        </w:rPr>
        <w:t>tel</w:t>
      </w:r>
    </w:p>
    <w:p w14:paraId="7636E6F5" w14:textId="4A7524A5" w:rsidR="00067B04" w:rsidRPr="00A245AB" w:rsidRDefault="00067B04" w:rsidP="00067B04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tartalomjegyzékkel,</w:t>
      </w:r>
    </w:p>
    <w:p w14:paraId="0B0BAB28" w14:textId="0D122F95" w:rsidR="00067B04" w:rsidRPr="00A245AB" w:rsidRDefault="00067B04" w:rsidP="00067B04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oldalszámozással</w:t>
      </w:r>
    </w:p>
    <w:p w14:paraId="1E8AEA6E" w14:textId="17E645A0" w:rsidR="008F2BD6" w:rsidRPr="00A245AB" w:rsidRDefault="00A20F8D" w:rsidP="00D3537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 xml:space="preserve">szükséges elkészíteni. A dokumentum teljes hossza </w:t>
      </w:r>
      <w:r w:rsidRPr="00313B5B">
        <w:rPr>
          <w:rFonts w:ascii="Times New Roman" w:hAnsi="Times New Roman" w:cs="Times New Roman"/>
          <w:b/>
          <w:bCs/>
          <w:sz w:val="24"/>
          <w:szCs w:val="24"/>
        </w:rPr>
        <w:t xml:space="preserve">mellékletek nélkül ne haladja meg a </w:t>
      </w:r>
      <w:r w:rsidR="008F2BD6" w:rsidRPr="00313B5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13B5B">
        <w:rPr>
          <w:rFonts w:ascii="Times New Roman" w:hAnsi="Times New Roman" w:cs="Times New Roman"/>
          <w:b/>
          <w:bCs/>
          <w:sz w:val="24"/>
          <w:szCs w:val="24"/>
        </w:rPr>
        <w:t xml:space="preserve"> oldalt.</w:t>
      </w:r>
      <w:r w:rsidRPr="00A245AB">
        <w:rPr>
          <w:rFonts w:ascii="Times New Roman" w:hAnsi="Times New Roman" w:cs="Times New Roman"/>
          <w:sz w:val="24"/>
          <w:szCs w:val="24"/>
        </w:rPr>
        <w:t xml:space="preserve"> A</w:t>
      </w:r>
      <w:r w:rsidR="0025580E" w:rsidRPr="00A245AB">
        <w:rPr>
          <w:rFonts w:ascii="Times New Roman" w:hAnsi="Times New Roman" w:cs="Times New Roman"/>
          <w:sz w:val="24"/>
          <w:szCs w:val="24"/>
        </w:rPr>
        <w:t xml:space="preserve"> monitorbeszámolót</w:t>
      </w:r>
      <w:r w:rsidRPr="00A245AB">
        <w:rPr>
          <w:rFonts w:ascii="Times New Roman" w:hAnsi="Times New Roman" w:cs="Times New Roman"/>
          <w:sz w:val="24"/>
          <w:szCs w:val="24"/>
        </w:rPr>
        <w:t xml:space="preserve"> </w:t>
      </w:r>
      <w:r w:rsidR="00CF0C49">
        <w:rPr>
          <w:rFonts w:ascii="Times New Roman" w:hAnsi="Times New Roman" w:cs="Times New Roman"/>
          <w:sz w:val="24"/>
          <w:szCs w:val="24"/>
        </w:rPr>
        <w:t xml:space="preserve">kizárólag </w:t>
      </w:r>
      <w:r w:rsidR="00067B04" w:rsidRPr="00A245AB">
        <w:rPr>
          <w:rFonts w:ascii="Times New Roman" w:hAnsi="Times New Roman" w:cs="Times New Roman"/>
          <w:sz w:val="24"/>
          <w:szCs w:val="24"/>
        </w:rPr>
        <w:t>a MAB Titkárság Információs Rendszerébe kérjük feltölteni (</w:t>
      </w:r>
      <w:hyperlink r:id="rId11" w:history="1">
        <w:r w:rsidR="00067B04" w:rsidRPr="00A245AB">
          <w:rPr>
            <w:rStyle w:val="Hiperhivatkozs"/>
            <w:rFonts w:ascii="Times New Roman" w:hAnsi="Times New Roman" w:cs="Times New Roman"/>
            <w:sz w:val="24"/>
            <w:szCs w:val="24"/>
          </w:rPr>
          <w:t>https://tir2.mab.hu</w:t>
        </w:r>
      </w:hyperlink>
      <w:r w:rsidR="00067B04" w:rsidRPr="00A245AB">
        <w:rPr>
          <w:rFonts w:ascii="Times New Roman" w:hAnsi="Times New Roman" w:cs="Times New Roman"/>
          <w:sz w:val="24"/>
          <w:szCs w:val="24"/>
        </w:rPr>
        <w:t>)</w:t>
      </w:r>
      <w:r w:rsidRPr="00A245AB">
        <w:rPr>
          <w:rFonts w:ascii="Times New Roman" w:hAnsi="Times New Roman" w:cs="Times New Roman"/>
          <w:sz w:val="24"/>
          <w:szCs w:val="24"/>
        </w:rPr>
        <w:t>.</w:t>
      </w:r>
    </w:p>
    <w:p w14:paraId="6C99A3D9" w14:textId="01C6D624" w:rsidR="00354EC3" w:rsidRPr="00A245AB" w:rsidRDefault="003860D6" w:rsidP="00D3537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monitorbeszámoló nyelve magyar. Angol nyelvű monitorbeszámolót akkor lehet benyújtani, ha </w:t>
      </w:r>
      <w:r w:rsidR="00FD55AC">
        <w:rPr>
          <w:rFonts w:ascii="Times New Roman" w:hAnsi="Times New Roman" w:cs="Times New Roman"/>
          <w:sz w:val="24"/>
          <w:szCs w:val="24"/>
        </w:rPr>
        <w:t xml:space="preserve">a DI csak idegen nyelven folytat képzést és </w:t>
      </w:r>
      <w:r>
        <w:rPr>
          <w:rFonts w:ascii="Times New Roman" w:hAnsi="Times New Roman" w:cs="Times New Roman"/>
          <w:sz w:val="24"/>
          <w:szCs w:val="24"/>
        </w:rPr>
        <w:t>ezt külön kéri</w:t>
      </w:r>
      <w:r w:rsidR="00FD55AC">
        <w:rPr>
          <w:rFonts w:ascii="Times New Roman" w:hAnsi="Times New Roman" w:cs="Times New Roman"/>
          <w:sz w:val="24"/>
          <w:szCs w:val="24"/>
        </w:rPr>
        <w:t xml:space="preserve">, </w:t>
      </w:r>
      <w:r w:rsidR="0032381B">
        <w:rPr>
          <w:rFonts w:ascii="Times New Roman" w:hAnsi="Times New Roman" w:cs="Times New Roman"/>
          <w:sz w:val="24"/>
          <w:szCs w:val="24"/>
        </w:rPr>
        <w:t>valamint,</w:t>
      </w:r>
      <w:r>
        <w:rPr>
          <w:rFonts w:ascii="Times New Roman" w:hAnsi="Times New Roman" w:cs="Times New Roman"/>
          <w:sz w:val="24"/>
          <w:szCs w:val="24"/>
        </w:rPr>
        <w:t xml:space="preserve"> ha a</w:t>
      </w:r>
      <w:r w:rsidR="0032381B">
        <w:rPr>
          <w:rFonts w:ascii="Times New Roman" w:hAnsi="Times New Roman" w:cs="Times New Roman"/>
          <w:sz w:val="24"/>
          <w:szCs w:val="24"/>
        </w:rPr>
        <w:t xml:space="preserve"> monitoreljárást megelőző </w:t>
      </w:r>
      <w:r>
        <w:rPr>
          <w:rFonts w:ascii="Times New Roman" w:hAnsi="Times New Roman" w:cs="Times New Roman"/>
          <w:sz w:val="24"/>
          <w:szCs w:val="24"/>
        </w:rPr>
        <w:t>akkreditációs eljárás nyelve angol volt</w:t>
      </w:r>
      <w:r w:rsidR="00A20F8D" w:rsidRPr="00A245AB">
        <w:rPr>
          <w:rFonts w:ascii="Times New Roman" w:hAnsi="Times New Roman" w:cs="Times New Roman"/>
          <w:sz w:val="24"/>
          <w:szCs w:val="24"/>
        </w:rPr>
        <w:t>.</w:t>
      </w:r>
    </w:p>
    <w:p w14:paraId="0762443B" w14:textId="363A1729" w:rsidR="00354EC3" w:rsidRPr="00A245AB" w:rsidRDefault="00354EC3" w:rsidP="00D3537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5AB">
        <w:rPr>
          <w:rFonts w:ascii="Times New Roman" w:hAnsi="Times New Roman" w:cs="Times New Roman"/>
          <w:sz w:val="24"/>
          <w:szCs w:val="24"/>
          <w:u w:val="single"/>
        </w:rPr>
        <w:t xml:space="preserve">A formai követelményeknek nem megfelelő dokumentum </w:t>
      </w:r>
      <w:r w:rsidR="002427A0">
        <w:rPr>
          <w:rFonts w:ascii="Times New Roman" w:hAnsi="Times New Roman" w:cs="Times New Roman"/>
          <w:sz w:val="24"/>
          <w:szCs w:val="24"/>
          <w:u w:val="single"/>
        </w:rPr>
        <w:t xml:space="preserve">egy alkalommal </w:t>
      </w:r>
      <w:r w:rsidRPr="00A245AB">
        <w:rPr>
          <w:rFonts w:ascii="Times New Roman" w:hAnsi="Times New Roman" w:cs="Times New Roman"/>
          <w:sz w:val="24"/>
          <w:szCs w:val="24"/>
          <w:u w:val="single"/>
        </w:rPr>
        <w:t>a DI részére átdolgozásra visszaküldésre kerül.</w:t>
      </w:r>
    </w:p>
    <w:p w14:paraId="72D84AF2" w14:textId="5E4183CB" w:rsidR="0025580E" w:rsidRPr="00A245AB" w:rsidRDefault="00A20F8D" w:rsidP="00D3537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AB">
        <w:rPr>
          <w:rFonts w:ascii="Times New Roman" w:hAnsi="Times New Roman" w:cs="Times New Roman"/>
          <w:sz w:val="24"/>
          <w:szCs w:val="24"/>
        </w:rPr>
        <w:t>A</w:t>
      </w:r>
      <w:r w:rsidR="005758E0" w:rsidRPr="00A245AB">
        <w:rPr>
          <w:rFonts w:ascii="Times New Roman" w:hAnsi="Times New Roman" w:cs="Times New Roman"/>
          <w:sz w:val="24"/>
          <w:szCs w:val="24"/>
        </w:rPr>
        <w:t xml:space="preserve"> monitorbeszámoló</w:t>
      </w:r>
      <w:r w:rsidRPr="00A245AB">
        <w:rPr>
          <w:rFonts w:ascii="Times New Roman" w:hAnsi="Times New Roman" w:cs="Times New Roman"/>
          <w:sz w:val="24"/>
          <w:szCs w:val="24"/>
        </w:rPr>
        <w:t xml:space="preserve"> készítése során felmerülő kérdéseket a MAB Titkársága által kijelölt </w:t>
      </w:r>
      <w:r w:rsidR="005758E0" w:rsidRPr="00A245AB">
        <w:rPr>
          <w:rFonts w:ascii="Times New Roman" w:hAnsi="Times New Roman" w:cs="Times New Roman"/>
          <w:sz w:val="24"/>
          <w:szCs w:val="24"/>
        </w:rPr>
        <w:t>szak</w:t>
      </w:r>
      <w:r w:rsidRPr="00A245AB">
        <w:rPr>
          <w:rFonts w:ascii="Times New Roman" w:hAnsi="Times New Roman" w:cs="Times New Roman"/>
          <w:sz w:val="24"/>
          <w:szCs w:val="24"/>
        </w:rPr>
        <w:t>referenshez elektronikus levélben</w:t>
      </w:r>
      <w:r w:rsidR="00337BF0">
        <w:rPr>
          <w:rFonts w:ascii="Times New Roman" w:hAnsi="Times New Roman" w:cs="Times New Roman"/>
          <w:sz w:val="24"/>
          <w:szCs w:val="24"/>
        </w:rPr>
        <w:t xml:space="preserve"> </w:t>
      </w:r>
      <w:r w:rsidRPr="00A245AB">
        <w:rPr>
          <w:rFonts w:ascii="Times New Roman" w:hAnsi="Times New Roman" w:cs="Times New Roman"/>
          <w:sz w:val="24"/>
          <w:szCs w:val="24"/>
        </w:rPr>
        <w:t xml:space="preserve">a </w:t>
      </w:r>
      <w:hyperlink r:id="rId12" w:history="1">
        <w:r w:rsidR="003860D6" w:rsidRPr="007F5A10">
          <w:rPr>
            <w:rStyle w:val="Hiperhivatkozs"/>
            <w:rFonts w:ascii="Times New Roman" w:hAnsi="Times New Roman" w:cs="Times New Roman"/>
            <w:sz w:val="24"/>
            <w:szCs w:val="24"/>
          </w:rPr>
          <w:t>doktori@mab.hu</w:t>
        </w:r>
      </w:hyperlink>
      <w:r w:rsidRPr="00A245AB">
        <w:rPr>
          <w:rFonts w:ascii="Times New Roman" w:hAnsi="Times New Roman" w:cs="Times New Roman"/>
          <w:sz w:val="24"/>
          <w:szCs w:val="24"/>
        </w:rPr>
        <w:t xml:space="preserve"> címre lehet intézni.</w:t>
      </w:r>
    </w:p>
    <w:p w14:paraId="44E0D2AF" w14:textId="20B69AE6" w:rsidR="005758E0" w:rsidRPr="00A245AB" w:rsidRDefault="0025580E" w:rsidP="0025580E">
      <w:pPr>
        <w:rPr>
          <w:rFonts w:ascii="Times New Roman" w:hAnsi="Times New Roman" w:cs="Times New Roman"/>
        </w:rPr>
      </w:pPr>
      <w:r w:rsidRPr="00A245AB">
        <w:rPr>
          <w:rFonts w:ascii="Times New Roman" w:hAnsi="Times New Roman" w:cs="Times New Roman"/>
        </w:rPr>
        <w:br w:type="page"/>
      </w:r>
    </w:p>
    <w:p w14:paraId="5D0C2031" w14:textId="37CC8C95" w:rsidR="0025580E" w:rsidRPr="00337BF0" w:rsidRDefault="005758E0" w:rsidP="00F53198">
      <w:pPr>
        <w:pStyle w:val="Cmsor1"/>
        <w:spacing w:before="480" w:after="120"/>
        <w:ind w:left="357" w:hanging="357"/>
        <w:rPr>
          <w:rFonts w:ascii="Times New Roman" w:hAnsi="Times New Roman" w:cs="Times New Roman"/>
          <w:color w:val="002060"/>
        </w:rPr>
      </w:pPr>
      <w:bookmarkStart w:id="6" w:name="_Toc161129682"/>
      <w:r w:rsidRPr="00337BF0">
        <w:rPr>
          <w:rFonts w:ascii="Times New Roman" w:hAnsi="Times New Roman" w:cs="Times New Roman"/>
          <w:color w:val="002060"/>
        </w:rPr>
        <w:lastRenderedPageBreak/>
        <w:t>Sablon a monitorbeszámolóhoz</w:t>
      </w:r>
      <w:bookmarkEnd w:id="6"/>
    </w:p>
    <w:p w14:paraId="52A43539" w14:textId="21F9FDCA" w:rsidR="0025580E" w:rsidRPr="00A245AB" w:rsidRDefault="0025580E" w:rsidP="00F8366A">
      <w:pPr>
        <w:spacing w:before="288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A245AB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Felsőoktatási </w:t>
      </w:r>
      <w:r w:rsidR="00D35370" w:rsidRPr="00A245AB">
        <w:rPr>
          <w:rFonts w:ascii="Times New Roman" w:hAnsi="Times New Roman" w:cs="Times New Roman"/>
          <w:b/>
          <w:bCs/>
          <w:color w:val="002060"/>
          <w:sz w:val="32"/>
          <w:szCs w:val="32"/>
        </w:rPr>
        <w:t>I</w:t>
      </w:r>
      <w:r w:rsidRPr="00A245AB">
        <w:rPr>
          <w:rFonts w:ascii="Times New Roman" w:hAnsi="Times New Roman" w:cs="Times New Roman"/>
          <w:b/>
          <w:bCs/>
          <w:color w:val="002060"/>
          <w:sz w:val="32"/>
          <w:szCs w:val="32"/>
        </w:rPr>
        <w:t>ntézmény neve</w:t>
      </w:r>
    </w:p>
    <w:p w14:paraId="737161D2" w14:textId="57783DAA" w:rsidR="0025580E" w:rsidRPr="00A245AB" w:rsidRDefault="0025580E" w:rsidP="0025580E">
      <w:pPr>
        <w:spacing w:before="24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A245AB">
        <w:rPr>
          <w:rFonts w:ascii="Times New Roman" w:hAnsi="Times New Roman" w:cs="Times New Roman"/>
          <w:b/>
          <w:bCs/>
          <w:color w:val="002060"/>
          <w:sz w:val="32"/>
          <w:szCs w:val="32"/>
        </w:rPr>
        <w:t>DI neve</w:t>
      </w:r>
    </w:p>
    <w:p w14:paraId="3AE27721" w14:textId="7086B494" w:rsidR="0025580E" w:rsidRPr="00A245AB" w:rsidRDefault="0025580E" w:rsidP="0025580E">
      <w:pPr>
        <w:spacing w:before="24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A245AB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DI azonosítója: </w:t>
      </w:r>
      <w:r w:rsidRPr="00A245AB">
        <w:rPr>
          <w:rFonts w:ascii="Times New Roman" w:hAnsi="Times New Roman" w:cs="Times New Roman"/>
          <w:i/>
          <w:iCs/>
          <w:color w:val="002060"/>
          <w:sz w:val="32"/>
          <w:szCs w:val="32"/>
        </w:rPr>
        <w:t>pl.</w:t>
      </w:r>
      <w:r w:rsidRPr="00A245A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A245AB">
        <w:rPr>
          <w:rFonts w:ascii="Times New Roman" w:hAnsi="Times New Roman" w:cs="Times New Roman"/>
          <w:i/>
          <w:iCs/>
          <w:color w:val="002060"/>
          <w:sz w:val="32"/>
          <w:szCs w:val="32"/>
        </w:rPr>
        <w:t>D999</w:t>
      </w:r>
    </w:p>
    <w:p w14:paraId="4B620539" w14:textId="0A6F407D" w:rsidR="0025580E" w:rsidRPr="00A245AB" w:rsidRDefault="0025580E" w:rsidP="0025580E">
      <w:pPr>
        <w:spacing w:before="24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A245AB">
        <w:rPr>
          <w:rFonts w:ascii="Times New Roman" w:hAnsi="Times New Roman" w:cs="Times New Roman"/>
          <w:color w:val="002060"/>
          <w:sz w:val="28"/>
          <w:szCs w:val="28"/>
        </w:rPr>
        <w:t>Monitorbeszámoló a MAB Testület …… sz. akkreditációs határozatához</w:t>
      </w:r>
    </w:p>
    <w:p w14:paraId="0C155972" w14:textId="77777777" w:rsidR="0025580E" w:rsidRPr="00A245AB" w:rsidRDefault="0025580E">
      <w:pPr>
        <w:rPr>
          <w:rFonts w:ascii="Times New Roman" w:hAnsi="Times New Roman" w:cs="Times New Roman"/>
          <w:b/>
          <w:bCs/>
          <w:color w:val="002060"/>
        </w:rPr>
      </w:pPr>
      <w:r w:rsidRPr="00A245AB">
        <w:rPr>
          <w:rFonts w:ascii="Times New Roman" w:hAnsi="Times New Roman" w:cs="Times New Roman"/>
          <w:b/>
          <w:bCs/>
          <w:color w:val="002060"/>
        </w:rPr>
        <w:br w:type="page"/>
      </w:r>
    </w:p>
    <w:p w14:paraId="7B4BE851" w14:textId="1E444279" w:rsidR="0025580E" w:rsidRPr="009F2787" w:rsidRDefault="0025580E" w:rsidP="0025580E">
      <w:pPr>
        <w:spacing w:before="240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337BF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highlight w:val="lightGray"/>
        </w:rPr>
        <w:lastRenderedPageBreak/>
        <w:t>Tartalomjegyzék</w:t>
      </w:r>
      <w:r w:rsidR="00456220" w:rsidRPr="00337BF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highlight w:val="lightGray"/>
        </w:rPr>
        <w:t xml:space="preserve"> helye</w:t>
      </w:r>
    </w:p>
    <w:p w14:paraId="14D1818B" w14:textId="77777777" w:rsidR="00456220" w:rsidRPr="009F2787" w:rsidRDefault="00456220" w:rsidP="0025580E">
      <w:pPr>
        <w:spacing w:before="24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4CB4AC7C" w14:textId="4D673126" w:rsidR="005758E0" w:rsidRPr="009F2787" w:rsidRDefault="005758E0" w:rsidP="00CF0C49">
      <w:pPr>
        <w:pStyle w:val="Listaszerbekezds"/>
        <w:numPr>
          <w:ilvl w:val="0"/>
          <w:numId w:val="7"/>
        </w:numPr>
        <w:spacing w:before="240"/>
        <w:ind w:left="142" w:hanging="28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A monitorbeszámoló elkészítésének folyamata</w:t>
      </w:r>
      <w:r w:rsidR="006A2330"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, a DI helyzetképe, főbb események bemutatása</w:t>
      </w:r>
    </w:p>
    <w:p w14:paraId="4A49F0CE" w14:textId="0ABC41CB" w:rsidR="005758E0" w:rsidRPr="009F2787" w:rsidRDefault="006A2330" w:rsidP="68BD6CD7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2787">
        <w:rPr>
          <w:rFonts w:ascii="Times New Roman" w:hAnsi="Times New Roman" w:cs="Times New Roman"/>
          <w:i/>
          <w:iCs/>
          <w:sz w:val="24"/>
          <w:szCs w:val="24"/>
        </w:rPr>
        <w:t>Mutassák be: k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ik, milyen folyamat keretében, milyen munkamegosztásban, milyen lépéseken keresztül állították össze a monitorbeszámolót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C65748" w14:textId="74889459" w:rsidR="006A2330" w:rsidRPr="009F2787" w:rsidRDefault="006A2330" w:rsidP="68BD6CD7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2787">
        <w:rPr>
          <w:rFonts w:ascii="Times New Roman" w:hAnsi="Times New Roman" w:cs="Times New Roman"/>
          <w:i/>
          <w:iCs/>
          <w:sz w:val="24"/>
          <w:szCs w:val="24"/>
        </w:rPr>
        <w:t>Mutassák be a DI helyzetképét, a főbb eseményeket a MAB akkreditációs jelentése és a monitorbeszámoló benyújtása közötti időszakra vonatkozóan.</w:t>
      </w:r>
    </w:p>
    <w:p w14:paraId="7FAE8104" w14:textId="649866C5" w:rsidR="00981763" w:rsidRPr="00A245AB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AB7832" w14:textId="77777777" w:rsidR="00981763" w:rsidRPr="00A245AB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CB1B611" w14:textId="4D983ED0" w:rsidR="00257FB1" w:rsidRDefault="005A1540" w:rsidP="00CF0C49">
      <w:pPr>
        <w:pStyle w:val="Listaszerbekezds"/>
        <w:numPr>
          <w:ilvl w:val="0"/>
          <w:numId w:val="7"/>
        </w:numPr>
        <w:spacing w:before="240"/>
        <w:ind w:left="142" w:hanging="28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Megtett intézkedések</w:t>
      </w:r>
      <w:r w:rsidR="00CC6FE0"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bemutatása</w:t>
      </w:r>
      <w:r w:rsidR="0025580E"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ESG-sztenderdenként</w:t>
      </w:r>
    </w:p>
    <w:p w14:paraId="2FE94AA9" w14:textId="5394A152" w:rsidR="00606181" w:rsidRDefault="00B834F0" w:rsidP="00606181">
      <w:pPr>
        <w:pStyle w:val="Listaszerbekezds"/>
        <w:spacing w:before="240"/>
        <w:ind w:left="142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F706C" wp14:editId="35E5966D">
                <wp:simplePos x="0" y="0"/>
                <wp:positionH relativeFrom="column">
                  <wp:posOffset>84455</wp:posOffset>
                </wp:positionH>
                <wp:positionV relativeFrom="paragraph">
                  <wp:posOffset>253365</wp:posOffset>
                </wp:positionV>
                <wp:extent cx="1828800" cy="1314450"/>
                <wp:effectExtent l="0" t="0" r="24130" b="19050"/>
                <wp:wrapSquare wrapText="bothSides"/>
                <wp:docPr id="65895460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CECF1" w14:textId="69170B93" w:rsidR="00B834F0" w:rsidRPr="009650CE" w:rsidRDefault="00B834F0" w:rsidP="009650CE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F27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Mutassák be a MAB akkreditációs jelentésében, az adott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ESG-</w:t>
                            </w:r>
                            <w:r w:rsidRPr="009F27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sztenderdhez kapcsolt monitorfeltételek teljesülését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(ld. akkreditációs jelentés I.2 fejezete</w:t>
                            </w:r>
                            <w:r w:rsidR="00313B5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és/vagy MAB Testület határozata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r w:rsidRPr="009F27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Mutassák be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az egyes monitorfeltételek teljesítéséhez </w:t>
                            </w:r>
                            <w:r w:rsidRPr="009F27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kapcsolódó intézményi és doktori iskolai tevékenységet, konkrét példákkal, dokumentumokkal, hivatkozásokkal alátámasztva.</w:t>
                            </w:r>
                            <w:r w:rsidR="002427A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Amennyiben az adott ESG-sztenderdhez nem került megfogalmazásra monitorfeltétel, úgy ezt a tényt jelezni szükséges.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F706C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6.65pt;margin-top:19.95pt;width:2in;height:10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" filled="f" strokeweight=".5pt">
                <v:textbox>
                  <w:txbxContent>
                    <w:p w14:paraId="3E4CECF1" w14:textId="69170B93" w:rsidR="00B834F0" w:rsidRPr="009650CE" w:rsidRDefault="00B834F0" w:rsidP="009650CE">
                      <w:pPr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F278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Mutassák be a MAB akkreditációs jelentésében, az adott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ESG-</w:t>
                      </w:r>
                      <w:r w:rsidRPr="009F278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sztenderdhez kapcsolt monitorfeltételek teljesülését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(ld. akkreditációs jelentés I.2 fejezete</w:t>
                      </w:r>
                      <w:r w:rsidR="00313B5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és/vagy MAB Testület határozata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  <w:r w:rsidRPr="009F278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. Mutassák be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az egyes monitorfeltételek teljesítéséhez </w:t>
                      </w:r>
                      <w:r w:rsidRPr="009F278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kapcsolódó intézményi és doktori iskolai tevékenységet, konkrét példákkal, dokumentumokkal, hivatkozásokkal alátámasztva.</w:t>
                      </w:r>
                      <w:r w:rsidR="002427A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Amennyiben az adott ESG-sztenderdhez nem került megfogalmazásra monitorfeltétel, úgy ezt a tényt jelezni szükséges.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6FC694" w14:textId="5F4C8B1B" w:rsidR="00B834F0" w:rsidRPr="00D93E38" w:rsidRDefault="00B834F0" w:rsidP="00EA25A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FA43F58" w14:textId="4C4AE319" w:rsidR="00A443A3" w:rsidRPr="009F2787" w:rsidRDefault="00496441" w:rsidP="00CF0C49">
      <w:pPr>
        <w:spacing w:before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ESG </w:t>
      </w:r>
      <w:r w:rsidR="00CD2A72"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1.1 Minőségbiztosítási politika</w:t>
      </w:r>
    </w:p>
    <w:p w14:paraId="70CB3463" w14:textId="77777777" w:rsidR="00DF3B67" w:rsidRPr="009F2787" w:rsidRDefault="00DF3B67" w:rsidP="0032381B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BE5032" w14:textId="77777777" w:rsidR="00515E21" w:rsidRPr="009F2787" w:rsidRDefault="00515E21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C99206" w14:textId="1566BE15" w:rsidR="00A20F01" w:rsidRPr="009F2787" w:rsidRDefault="006F2F68" w:rsidP="00CF0C49">
      <w:pPr>
        <w:spacing w:before="24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ESG 1</w:t>
      </w:r>
      <w:r w:rsidR="00551C51"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.2 </w:t>
      </w:r>
      <w:r w:rsidR="00A20F01"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és 1.9 </w:t>
      </w: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A képzési programok kialakítása és jóváhagyása</w:t>
      </w:r>
      <w:r w:rsidR="00A20F01"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; folyamatos figyelemmel kísérése és rendszeres értékelése</w:t>
      </w:r>
    </w:p>
    <w:p w14:paraId="5844AE66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E35871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B4FB90" w14:textId="77777777" w:rsidR="00F63F1C" w:rsidRPr="009F2787" w:rsidRDefault="00F63F1C" w:rsidP="00CF0C49">
      <w:pPr>
        <w:spacing w:before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ESG 1.3 Hallgatóközpontú tanulás, tanítás és értékelés</w:t>
      </w:r>
    </w:p>
    <w:p w14:paraId="1C2AEE55" w14:textId="77777777" w:rsidR="00981763" w:rsidRPr="00DF3B6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5FEEF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0FF01E" w14:textId="77777777" w:rsidR="00F63F1C" w:rsidRPr="009F2787" w:rsidRDefault="00F63F1C" w:rsidP="00CF0C49">
      <w:pPr>
        <w:spacing w:before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ESG 1.4 A hallgatók felvétele, előrehaladása, tanulmányaik elismerése és a képesítés odaítélése</w:t>
      </w:r>
    </w:p>
    <w:p w14:paraId="28F1B658" w14:textId="77777777" w:rsidR="00DF3B67" w:rsidRDefault="00DF3B67" w:rsidP="0032381B">
      <w:pPr>
        <w:spacing w:after="6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B0995E2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0AD46A" w14:textId="7B8A1283" w:rsidR="009752F9" w:rsidRPr="009F2787" w:rsidRDefault="006408BA" w:rsidP="00CF0C49">
      <w:pPr>
        <w:spacing w:before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ESG 1</w:t>
      </w:r>
      <w:r w:rsidR="00551C51"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="00551C51"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Oktatók</w:t>
      </w:r>
    </w:p>
    <w:p w14:paraId="25DCC491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6DA9CC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D42AB2" w14:textId="77777777" w:rsidR="0064749B" w:rsidRPr="009F2787" w:rsidRDefault="0064749B" w:rsidP="00CF0C49">
      <w:pPr>
        <w:spacing w:before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ESG 1.6 Tanulástámogatás és hallgatói szolgáltatások</w:t>
      </w:r>
    </w:p>
    <w:p w14:paraId="33C6D958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8CD30B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567531" w14:textId="77777777" w:rsidR="00353650" w:rsidRPr="009F2787" w:rsidRDefault="00353650" w:rsidP="00CF0C49">
      <w:pPr>
        <w:spacing w:before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ESG 1.7 Információkezelés</w:t>
      </w:r>
    </w:p>
    <w:p w14:paraId="5FD1FDAE" w14:textId="77777777" w:rsidR="00981763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52D6E4" w14:textId="77777777" w:rsidR="00DF3B67" w:rsidRPr="009F2787" w:rsidRDefault="00DF3B67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57B6C" w14:textId="77777777" w:rsidR="00C81A0C" w:rsidRPr="009F2787" w:rsidRDefault="00C81A0C" w:rsidP="00CF0C49">
      <w:pPr>
        <w:spacing w:before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ESG 1.8 Nyilvános információk</w:t>
      </w:r>
    </w:p>
    <w:p w14:paraId="45AD8688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0EF995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F4BBAD" w14:textId="77777777" w:rsidR="00C81A0C" w:rsidRPr="009F2787" w:rsidRDefault="00C81A0C" w:rsidP="00CF0C49">
      <w:pPr>
        <w:spacing w:before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2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ESG 1.10 Rendszeres külső minőségbiztosítás</w:t>
      </w:r>
    </w:p>
    <w:p w14:paraId="2BE30324" w14:textId="77777777" w:rsidR="00981763" w:rsidRPr="009F2787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FC4236" w14:textId="77777777" w:rsidR="00981763" w:rsidRPr="009F2787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6F935C" w14:textId="1F54DC87" w:rsidR="00981763" w:rsidRPr="00F648A4" w:rsidRDefault="00981763" w:rsidP="00456220">
      <w:pPr>
        <w:pStyle w:val="Listaszerbekezds"/>
        <w:numPr>
          <w:ilvl w:val="0"/>
          <w:numId w:val="7"/>
        </w:numPr>
        <w:spacing w:before="240"/>
        <w:ind w:left="142" w:hanging="284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48A4">
        <w:rPr>
          <w:rFonts w:ascii="Times New Roman" w:hAnsi="Times New Roman" w:cs="Times New Roman"/>
          <w:b/>
          <w:bCs/>
          <w:color w:val="002060"/>
          <w:sz w:val="24"/>
          <w:szCs w:val="24"/>
        </w:rPr>
        <w:t>Melléklet</w:t>
      </w:r>
    </w:p>
    <w:p w14:paraId="7A31602E" w14:textId="08B2EEB9" w:rsidR="008B17F2" w:rsidRPr="00F648A4" w:rsidRDefault="00C41347" w:rsidP="002E201B">
      <w:pPr>
        <w:pStyle w:val="Listaszerbekezds"/>
        <w:numPr>
          <w:ilvl w:val="1"/>
          <w:numId w:val="7"/>
        </w:numPr>
        <w:spacing w:before="240"/>
        <w:ind w:left="709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48A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267E65" w:rsidRPr="00F648A4">
        <w:rPr>
          <w:rFonts w:ascii="Times New Roman" w:hAnsi="Times New Roman" w:cs="Times New Roman"/>
          <w:b/>
          <w:bCs/>
          <w:color w:val="002060"/>
          <w:sz w:val="24"/>
          <w:szCs w:val="24"/>
        </w:rPr>
        <w:t>Összefoglaló táblázat</w:t>
      </w:r>
    </w:p>
    <w:tbl>
      <w:tblPr>
        <w:tblStyle w:val="Rcsostblzat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2409"/>
        <w:gridCol w:w="2410"/>
        <w:gridCol w:w="2410"/>
      </w:tblGrid>
      <w:tr w:rsidR="00267E65" w:rsidRPr="00A245AB" w14:paraId="7EF0B0DE" w14:textId="77777777" w:rsidTr="001647C3">
        <w:trPr>
          <w:trHeight w:val="1647"/>
          <w:tblHeader/>
        </w:trPr>
        <w:tc>
          <w:tcPr>
            <w:tcW w:w="3261" w:type="dxa"/>
          </w:tcPr>
          <w:p w14:paraId="155B58AD" w14:textId="169F617C" w:rsidR="00267E65" w:rsidRPr="00F648A4" w:rsidRDefault="00DF3B67" w:rsidP="009272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67">
              <w:rPr>
                <w:rFonts w:ascii="Times New Roman" w:hAnsi="Times New Roman" w:cs="Times New Roman"/>
                <w:b/>
                <w:bCs/>
              </w:rPr>
              <w:t>Monitorfeltételek a MAB Testület határozatával elfogadott jelentés alapján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E38">
              <w:rPr>
                <w:rFonts w:ascii="Times New Roman" w:hAnsi="Times New Roman" w:cs="Times New Roman"/>
              </w:rPr>
              <w:t>(ld. I.2 fejezet</w:t>
            </w:r>
            <w:r w:rsidR="00313B5B">
              <w:rPr>
                <w:rFonts w:ascii="Times New Roman" w:hAnsi="Times New Roman" w:cs="Times New Roman"/>
              </w:rPr>
              <w:t xml:space="preserve"> és/vagy MAB Testület határozata</w:t>
            </w:r>
            <w:r w:rsidRPr="00D93E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14:paraId="6C6599AB" w14:textId="27ECE170" w:rsidR="00267E65" w:rsidRPr="00D93E38" w:rsidRDefault="00DF3B67" w:rsidP="00DF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A DI saját megítélése szerint, milyen szinten tudta teljesíteni a monitorfeltételt?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(teljesült, nem teljesült, részlegesen teljesült)</w:t>
            </w:r>
          </w:p>
        </w:tc>
        <w:tc>
          <w:tcPr>
            <w:tcW w:w="2410" w:type="dxa"/>
          </w:tcPr>
          <w:p w14:paraId="10C53780" w14:textId="243558BE" w:rsidR="00267E65" w:rsidRPr="00F648A4" w:rsidRDefault="00267E65" w:rsidP="009272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8A4">
              <w:rPr>
                <w:rFonts w:ascii="Times New Roman" w:hAnsi="Times New Roman" w:cs="Times New Roman"/>
                <w:b/>
                <w:bCs/>
              </w:rPr>
              <w:t xml:space="preserve">Az intézkedés rövid, tényszerű ismertetése </w:t>
            </w:r>
            <w:r w:rsidRPr="00F648A4">
              <w:rPr>
                <w:rFonts w:ascii="Times New Roman" w:hAnsi="Times New Roman" w:cs="Times New Roman"/>
              </w:rPr>
              <w:t>(</w:t>
            </w:r>
            <w:proofErr w:type="spellStart"/>
            <w:r w:rsidRPr="00F648A4">
              <w:rPr>
                <w:rFonts w:ascii="Times New Roman" w:hAnsi="Times New Roman" w:cs="Times New Roman"/>
              </w:rPr>
              <w:t>max</w:t>
            </w:r>
            <w:proofErr w:type="spellEnd"/>
            <w:r w:rsidRPr="00F648A4">
              <w:rPr>
                <w:rFonts w:ascii="Times New Roman" w:hAnsi="Times New Roman" w:cs="Times New Roman"/>
              </w:rPr>
              <w:t>. 4 mondatban)</w:t>
            </w:r>
          </w:p>
        </w:tc>
        <w:tc>
          <w:tcPr>
            <w:tcW w:w="2410" w:type="dxa"/>
          </w:tcPr>
          <w:p w14:paraId="78EEDF12" w14:textId="459150D7" w:rsidR="00267E65" w:rsidRPr="00F648A4" w:rsidRDefault="00267E65" w:rsidP="009272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8A4">
              <w:rPr>
                <w:rFonts w:ascii="Times New Roman" w:hAnsi="Times New Roman" w:cs="Times New Roman"/>
                <w:b/>
                <w:bCs/>
              </w:rPr>
              <w:t>Alátámasztó dokumentumok</w:t>
            </w:r>
            <w:r w:rsidR="00DF3B67">
              <w:rPr>
                <w:rFonts w:ascii="Times New Roman" w:hAnsi="Times New Roman" w:cs="Times New Roman"/>
                <w:b/>
                <w:bCs/>
              </w:rPr>
              <w:t xml:space="preserve"> és</w:t>
            </w:r>
            <w:r w:rsidRPr="00F648A4">
              <w:rPr>
                <w:rFonts w:ascii="Times New Roman" w:hAnsi="Times New Roman" w:cs="Times New Roman"/>
                <w:b/>
                <w:bCs/>
              </w:rPr>
              <w:t xml:space="preserve"> linkek</w:t>
            </w:r>
          </w:p>
        </w:tc>
      </w:tr>
      <w:tr w:rsidR="00267E65" w:rsidRPr="00A245AB" w14:paraId="09AD29D2" w14:textId="77777777" w:rsidTr="00313B5B">
        <w:trPr>
          <w:trHeight w:val="1007"/>
        </w:trPr>
        <w:tc>
          <w:tcPr>
            <w:tcW w:w="3261" w:type="dxa"/>
          </w:tcPr>
          <w:p w14:paraId="72BE3440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E761FB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A68EDC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35BFF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5" w:rsidRPr="00A245AB" w14:paraId="5BCBC20A" w14:textId="77777777" w:rsidTr="00313B5B">
        <w:trPr>
          <w:trHeight w:val="848"/>
        </w:trPr>
        <w:tc>
          <w:tcPr>
            <w:tcW w:w="3261" w:type="dxa"/>
          </w:tcPr>
          <w:p w14:paraId="532A0B25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FA6A94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D764F7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493038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5" w:rsidRPr="00A245AB" w14:paraId="31A3FCB9" w14:textId="77777777" w:rsidTr="00313B5B">
        <w:trPr>
          <w:trHeight w:val="975"/>
        </w:trPr>
        <w:tc>
          <w:tcPr>
            <w:tcW w:w="3261" w:type="dxa"/>
          </w:tcPr>
          <w:p w14:paraId="32DFD07A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4D9FCD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F86040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915CDB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6B" w:rsidRPr="00A245AB" w14:paraId="12DDB527" w14:textId="77777777" w:rsidTr="00313B5B">
        <w:trPr>
          <w:trHeight w:val="989"/>
        </w:trPr>
        <w:tc>
          <w:tcPr>
            <w:tcW w:w="3261" w:type="dxa"/>
          </w:tcPr>
          <w:p w14:paraId="77A68455" w14:textId="77777777" w:rsidR="00CE096B" w:rsidRPr="00F33B2B" w:rsidRDefault="00CE096B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2FB7D3" w14:textId="77777777" w:rsidR="00CE096B" w:rsidRPr="00F33B2B" w:rsidRDefault="00CE096B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ABF8BD" w14:textId="77777777" w:rsidR="00CE096B" w:rsidRPr="00F33B2B" w:rsidRDefault="00CE096B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723165" w14:textId="77777777" w:rsidR="00CE096B" w:rsidRPr="00F33B2B" w:rsidRDefault="00CE096B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C67E6" w14:textId="3460F178" w:rsidR="00F54DE5" w:rsidRPr="00A245AB" w:rsidRDefault="00F54DE5" w:rsidP="009F153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F54DE5" w:rsidRPr="00A245AB" w:rsidSect="00FE70E0">
      <w:headerReference w:type="default" r:id="rId13"/>
      <w:footerReference w:type="default" r:id="rId14"/>
      <w:pgSz w:w="11906" w:h="16838"/>
      <w:pgMar w:top="22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1B833" w14:textId="77777777" w:rsidR="00FE70E0" w:rsidRDefault="00FE70E0" w:rsidP="005A0542">
      <w:pPr>
        <w:spacing w:after="0" w:line="240" w:lineRule="auto"/>
      </w:pPr>
      <w:r>
        <w:separator/>
      </w:r>
    </w:p>
  </w:endnote>
  <w:endnote w:type="continuationSeparator" w:id="0">
    <w:p w14:paraId="0D7099FB" w14:textId="77777777" w:rsidR="00FE70E0" w:rsidRDefault="00FE70E0" w:rsidP="005A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5920616"/>
      <w:docPartObj>
        <w:docPartGallery w:val="Page Numbers (Bottom of Page)"/>
        <w:docPartUnique/>
      </w:docPartObj>
    </w:sdtPr>
    <w:sdtContent>
      <w:p w14:paraId="56B06752" w14:textId="02EB765B" w:rsidR="00F53198" w:rsidRDefault="00F5319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D79B1" w14:textId="466EFDC8" w:rsidR="002815E9" w:rsidRPr="008B5F77" w:rsidRDefault="002815E9" w:rsidP="008B5F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DF5B6" w14:textId="77777777" w:rsidR="00FE70E0" w:rsidRDefault="00FE70E0" w:rsidP="005A0542">
      <w:pPr>
        <w:spacing w:after="0" w:line="240" w:lineRule="auto"/>
      </w:pPr>
      <w:r>
        <w:separator/>
      </w:r>
    </w:p>
  </w:footnote>
  <w:footnote w:type="continuationSeparator" w:id="0">
    <w:p w14:paraId="73D90774" w14:textId="77777777" w:rsidR="00FE70E0" w:rsidRDefault="00FE70E0" w:rsidP="005A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A5F8" w14:textId="56FA602D" w:rsidR="002815E9" w:rsidRPr="008B5F77" w:rsidRDefault="003A6637" w:rsidP="008B5F7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89542" wp14:editId="3C5AF7DA">
              <wp:simplePos x="0" y="0"/>
              <wp:positionH relativeFrom="page">
                <wp:align>right</wp:align>
              </wp:positionH>
              <wp:positionV relativeFrom="paragraph">
                <wp:posOffset>38100</wp:posOffset>
              </wp:positionV>
              <wp:extent cx="4625340" cy="441960"/>
              <wp:effectExtent l="0" t="0" r="3810" b="0"/>
              <wp:wrapNone/>
              <wp:docPr id="39" name="Szövegdoboz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5340" cy="441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A0290E" w14:textId="3E941974" w:rsidR="003A6637" w:rsidRPr="003A6637" w:rsidRDefault="003A6637" w:rsidP="003A6637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</w:pPr>
                          <w:r w:rsidRPr="003A6637"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 xml:space="preserve">A </w:t>
                          </w:r>
                          <w:r w:rsidR="00FD55AC"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 xml:space="preserve">MAB </w:t>
                          </w:r>
                          <w:r w:rsidRPr="003A6637"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>Doktori Akkreditációs Kollégium</w:t>
                          </w:r>
                          <w:r w:rsidR="00FD55AC"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>a</w:t>
                          </w:r>
                          <w:r w:rsidRPr="003A6637"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 xml:space="preserve"> 2022. november 4-i ülésén elfogadott segédlet.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89542" id="_x0000_t202" coordsize="21600,21600" o:spt="202" path="m,l,21600r21600,l21600,xe">
              <v:stroke joinstyle="miter"/>
              <v:path gradientshapeok="t" o:connecttype="rect"/>
            </v:shapetype>
            <v:shape id="Szövegdoboz 39" o:spid="_x0000_s1027" type="#_x0000_t202" style="position:absolute;margin-left:313pt;margin-top:3pt;width:364.2pt;height:34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" fillcolor="white [3201]" stroked="f" strokeweight=".5pt">
              <v:textbox>
                <w:txbxContent>
                  <w:p w14:paraId="6BA0290E" w14:textId="3E941974" w:rsidR="003A6637" w:rsidRPr="003A6637" w:rsidRDefault="003A6637" w:rsidP="003A6637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</w:rPr>
                    </w:pPr>
                    <w:r w:rsidRPr="003A6637">
                      <w:rPr>
                        <w:rFonts w:ascii="Times New Roman" w:hAnsi="Times New Roman" w:cs="Times New Roman"/>
                        <w:i/>
                        <w:iCs/>
                      </w:rPr>
                      <w:t xml:space="preserve">A </w:t>
                    </w:r>
                    <w:r w:rsidR="00FD55AC">
                      <w:rPr>
                        <w:rFonts w:ascii="Times New Roman" w:hAnsi="Times New Roman" w:cs="Times New Roman"/>
                        <w:i/>
                        <w:iCs/>
                      </w:rPr>
                      <w:t xml:space="preserve">MAB </w:t>
                    </w:r>
                    <w:r w:rsidRPr="003A6637">
                      <w:rPr>
                        <w:rFonts w:ascii="Times New Roman" w:hAnsi="Times New Roman" w:cs="Times New Roman"/>
                        <w:i/>
                        <w:iCs/>
                      </w:rPr>
                      <w:t>Doktori Akkreditációs Kollégium</w:t>
                    </w:r>
                    <w:r w:rsidR="00FD55AC">
                      <w:rPr>
                        <w:rFonts w:ascii="Times New Roman" w:hAnsi="Times New Roman" w:cs="Times New Roman"/>
                        <w:i/>
                        <w:iCs/>
                      </w:rPr>
                      <w:t>a</w:t>
                    </w:r>
                    <w:r w:rsidRPr="003A6637">
                      <w:rPr>
                        <w:rFonts w:ascii="Times New Roman" w:hAnsi="Times New Roman" w:cs="Times New Roman"/>
                        <w:i/>
                        <w:iCs/>
                      </w:rPr>
                      <w:t xml:space="preserve"> 2022. november 4-i ülésén elfogadott segédlet.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FAFD50" wp14:editId="108A8E56">
          <wp:simplePos x="0" y="0"/>
          <wp:positionH relativeFrom="column">
            <wp:posOffset>-671195</wp:posOffset>
          </wp:positionH>
          <wp:positionV relativeFrom="paragraph">
            <wp:posOffset>-129540</wp:posOffset>
          </wp:positionV>
          <wp:extent cx="2585085" cy="875665"/>
          <wp:effectExtent l="0" t="0" r="5715" b="635"/>
          <wp:wrapNone/>
          <wp:docPr id="38" name="Kép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085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F2D9B"/>
    <w:multiLevelType w:val="hybridMultilevel"/>
    <w:tmpl w:val="A22867EE"/>
    <w:lvl w:ilvl="0" w:tplc="A5F2D3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2651"/>
    <w:multiLevelType w:val="hybridMultilevel"/>
    <w:tmpl w:val="51800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078F"/>
    <w:multiLevelType w:val="multilevel"/>
    <w:tmpl w:val="62AE4B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0084FA0"/>
    <w:multiLevelType w:val="hybridMultilevel"/>
    <w:tmpl w:val="885A5090"/>
    <w:lvl w:ilvl="0" w:tplc="5728F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A600A"/>
    <w:multiLevelType w:val="hybridMultilevel"/>
    <w:tmpl w:val="350C81E0"/>
    <w:lvl w:ilvl="0" w:tplc="1B0E5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56653"/>
    <w:multiLevelType w:val="hybridMultilevel"/>
    <w:tmpl w:val="A0D45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E1527"/>
    <w:multiLevelType w:val="multilevel"/>
    <w:tmpl w:val="E4C29C7C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1979542">
    <w:abstractNumId w:val="0"/>
  </w:num>
  <w:num w:numId="2" w16cid:durableId="1044020347">
    <w:abstractNumId w:val="6"/>
  </w:num>
  <w:num w:numId="3" w16cid:durableId="2022581333">
    <w:abstractNumId w:val="2"/>
  </w:num>
  <w:num w:numId="4" w16cid:durableId="1757021145">
    <w:abstractNumId w:val="5"/>
  </w:num>
  <w:num w:numId="5" w16cid:durableId="1291665723">
    <w:abstractNumId w:val="3"/>
  </w:num>
  <w:num w:numId="6" w16cid:durableId="1501040638">
    <w:abstractNumId w:val="6"/>
  </w:num>
  <w:num w:numId="7" w16cid:durableId="1278676512">
    <w:abstractNumId w:val="4"/>
  </w:num>
  <w:num w:numId="8" w16cid:durableId="422528256">
    <w:abstractNumId w:val="6"/>
  </w:num>
  <w:num w:numId="9" w16cid:durableId="1579750368">
    <w:abstractNumId w:val="6"/>
  </w:num>
  <w:num w:numId="10" w16cid:durableId="1779524747">
    <w:abstractNumId w:val="6"/>
  </w:num>
  <w:num w:numId="11" w16cid:durableId="1855073643">
    <w:abstractNumId w:val="1"/>
  </w:num>
  <w:num w:numId="12" w16cid:durableId="166770899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93"/>
    <w:rsid w:val="00002688"/>
    <w:rsid w:val="00005627"/>
    <w:rsid w:val="00010D7E"/>
    <w:rsid w:val="000113F3"/>
    <w:rsid w:val="000172E6"/>
    <w:rsid w:val="00017426"/>
    <w:rsid w:val="000212B9"/>
    <w:rsid w:val="000277A6"/>
    <w:rsid w:val="00034B19"/>
    <w:rsid w:val="00041FD0"/>
    <w:rsid w:val="000421D9"/>
    <w:rsid w:val="00052053"/>
    <w:rsid w:val="00052627"/>
    <w:rsid w:val="000610FA"/>
    <w:rsid w:val="00061AB1"/>
    <w:rsid w:val="00062F11"/>
    <w:rsid w:val="00063FF4"/>
    <w:rsid w:val="000671EA"/>
    <w:rsid w:val="00067B04"/>
    <w:rsid w:val="000708CF"/>
    <w:rsid w:val="00073F9D"/>
    <w:rsid w:val="00074249"/>
    <w:rsid w:val="00080F0D"/>
    <w:rsid w:val="00082028"/>
    <w:rsid w:val="00084EE3"/>
    <w:rsid w:val="00090DEF"/>
    <w:rsid w:val="000918C7"/>
    <w:rsid w:val="00092BB5"/>
    <w:rsid w:val="000946CD"/>
    <w:rsid w:val="00095B9A"/>
    <w:rsid w:val="000A2664"/>
    <w:rsid w:val="000B3100"/>
    <w:rsid w:val="000B507A"/>
    <w:rsid w:val="000B67C9"/>
    <w:rsid w:val="000C0AB1"/>
    <w:rsid w:val="000C1C88"/>
    <w:rsid w:val="000C4EDB"/>
    <w:rsid w:val="000C6651"/>
    <w:rsid w:val="000C68AC"/>
    <w:rsid w:val="000D2436"/>
    <w:rsid w:val="000D2615"/>
    <w:rsid w:val="000D7AFB"/>
    <w:rsid w:val="000E03EB"/>
    <w:rsid w:val="000E082E"/>
    <w:rsid w:val="000E09FF"/>
    <w:rsid w:val="000E1DB5"/>
    <w:rsid w:val="000E65B5"/>
    <w:rsid w:val="000E6743"/>
    <w:rsid w:val="000F0FE0"/>
    <w:rsid w:val="00102F74"/>
    <w:rsid w:val="0010344F"/>
    <w:rsid w:val="001062C3"/>
    <w:rsid w:val="00106804"/>
    <w:rsid w:val="00107809"/>
    <w:rsid w:val="00110576"/>
    <w:rsid w:val="00113048"/>
    <w:rsid w:val="00121CD1"/>
    <w:rsid w:val="001260D7"/>
    <w:rsid w:val="00126AE9"/>
    <w:rsid w:val="0013209C"/>
    <w:rsid w:val="00133D7E"/>
    <w:rsid w:val="00142FB1"/>
    <w:rsid w:val="00150909"/>
    <w:rsid w:val="00154D76"/>
    <w:rsid w:val="00157C10"/>
    <w:rsid w:val="001614A6"/>
    <w:rsid w:val="001647C3"/>
    <w:rsid w:val="0016767A"/>
    <w:rsid w:val="00167F9A"/>
    <w:rsid w:val="0017218E"/>
    <w:rsid w:val="00173D56"/>
    <w:rsid w:val="001756A5"/>
    <w:rsid w:val="00175CBE"/>
    <w:rsid w:val="0018180B"/>
    <w:rsid w:val="0018194B"/>
    <w:rsid w:val="0018594E"/>
    <w:rsid w:val="00195181"/>
    <w:rsid w:val="001A096E"/>
    <w:rsid w:val="001A365F"/>
    <w:rsid w:val="001B3467"/>
    <w:rsid w:val="001C019C"/>
    <w:rsid w:val="001D324D"/>
    <w:rsid w:val="001D37DB"/>
    <w:rsid w:val="001D5C95"/>
    <w:rsid w:val="001E00FA"/>
    <w:rsid w:val="001E41FA"/>
    <w:rsid w:val="001E78E9"/>
    <w:rsid w:val="001F14FB"/>
    <w:rsid w:val="001F1A3B"/>
    <w:rsid w:val="001F2BF6"/>
    <w:rsid w:val="001F5B06"/>
    <w:rsid w:val="001F71BC"/>
    <w:rsid w:val="001F721E"/>
    <w:rsid w:val="00201EDE"/>
    <w:rsid w:val="002026B5"/>
    <w:rsid w:val="002039EA"/>
    <w:rsid w:val="0021042F"/>
    <w:rsid w:val="00212D0D"/>
    <w:rsid w:val="00214055"/>
    <w:rsid w:val="002154ED"/>
    <w:rsid w:val="002229EF"/>
    <w:rsid w:val="0022744A"/>
    <w:rsid w:val="00227BA9"/>
    <w:rsid w:val="002328E2"/>
    <w:rsid w:val="002334D5"/>
    <w:rsid w:val="00233D1E"/>
    <w:rsid w:val="00236794"/>
    <w:rsid w:val="00236E45"/>
    <w:rsid w:val="0023773D"/>
    <w:rsid w:val="002378C3"/>
    <w:rsid w:val="002415D0"/>
    <w:rsid w:val="00241F96"/>
    <w:rsid w:val="002427A0"/>
    <w:rsid w:val="00243044"/>
    <w:rsid w:val="0025027D"/>
    <w:rsid w:val="00250BFE"/>
    <w:rsid w:val="00252D5B"/>
    <w:rsid w:val="0025580E"/>
    <w:rsid w:val="00257FB1"/>
    <w:rsid w:val="00261B98"/>
    <w:rsid w:val="00265578"/>
    <w:rsid w:val="00265AA1"/>
    <w:rsid w:val="00266E7A"/>
    <w:rsid w:val="00267E65"/>
    <w:rsid w:val="00270F20"/>
    <w:rsid w:val="00273E2E"/>
    <w:rsid w:val="002815E9"/>
    <w:rsid w:val="002821C4"/>
    <w:rsid w:val="00285190"/>
    <w:rsid w:val="0029205E"/>
    <w:rsid w:val="00295CD2"/>
    <w:rsid w:val="00297A61"/>
    <w:rsid w:val="002A1E69"/>
    <w:rsid w:val="002A4309"/>
    <w:rsid w:val="002A4DFF"/>
    <w:rsid w:val="002A4F8E"/>
    <w:rsid w:val="002B09E6"/>
    <w:rsid w:val="002B2F5D"/>
    <w:rsid w:val="002B30E9"/>
    <w:rsid w:val="002B41E9"/>
    <w:rsid w:val="002B421A"/>
    <w:rsid w:val="002B6EA5"/>
    <w:rsid w:val="002C04FD"/>
    <w:rsid w:val="002C3C36"/>
    <w:rsid w:val="002C6CB5"/>
    <w:rsid w:val="002D060E"/>
    <w:rsid w:val="002D0D0A"/>
    <w:rsid w:val="002D3EEB"/>
    <w:rsid w:val="002D4B65"/>
    <w:rsid w:val="002D4BCC"/>
    <w:rsid w:val="002D52C7"/>
    <w:rsid w:val="002E0254"/>
    <w:rsid w:val="002E0E9E"/>
    <w:rsid w:val="002E1746"/>
    <w:rsid w:val="002E201B"/>
    <w:rsid w:val="002E7C45"/>
    <w:rsid w:val="002F3743"/>
    <w:rsid w:val="002F3D01"/>
    <w:rsid w:val="002F4303"/>
    <w:rsid w:val="00300701"/>
    <w:rsid w:val="00300B2C"/>
    <w:rsid w:val="00302409"/>
    <w:rsid w:val="00307C62"/>
    <w:rsid w:val="00311FE1"/>
    <w:rsid w:val="00312402"/>
    <w:rsid w:val="00312C4F"/>
    <w:rsid w:val="00313B5B"/>
    <w:rsid w:val="003162E2"/>
    <w:rsid w:val="00317CAF"/>
    <w:rsid w:val="0032145D"/>
    <w:rsid w:val="00322C6E"/>
    <w:rsid w:val="00322E7F"/>
    <w:rsid w:val="0032381B"/>
    <w:rsid w:val="00324ED4"/>
    <w:rsid w:val="00327846"/>
    <w:rsid w:val="003318E7"/>
    <w:rsid w:val="00332E29"/>
    <w:rsid w:val="003339A5"/>
    <w:rsid w:val="0033552F"/>
    <w:rsid w:val="00337BF0"/>
    <w:rsid w:val="00340843"/>
    <w:rsid w:val="00342D2C"/>
    <w:rsid w:val="00343C15"/>
    <w:rsid w:val="00346697"/>
    <w:rsid w:val="00353650"/>
    <w:rsid w:val="00354BF6"/>
    <w:rsid w:val="00354EC3"/>
    <w:rsid w:val="00362678"/>
    <w:rsid w:val="003635CD"/>
    <w:rsid w:val="0036394E"/>
    <w:rsid w:val="00367300"/>
    <w:rsid w:val="00370C00"/>
    <w:rsid w:val="00370DA1"/>
    <w:rsid w:val="00377E88"/>
    <w:rsid w:val="003851B0"/>
    <w:rsid w:val="003860D6"/>
    <w:rsid w:val="003870DD"/>
    <w:rsid w:val="003914F1"/>
    <w:rsid w:val="003A6637"/>
    <w:rsid w:val="003A680B"/>
    <w:rsid w:val="003B067C"/>
    <w:rsid w:val="003B0B5C"/>
    <w:rsid w:val="003B5351"/>
    <w:rsid w:val="003C15B9"/>
    <w:rsid w:val="003C7E14"/>
    <w:rsid w:val="003D0871"/>
    <w:rsid w:val="003D2D3F"/>
    <w:rsid w:val="003D34CD"/>
    <w:rsid w:val="003D3904"/>
    <w:rsid w:val="003D71A7"/>
    <w:rsid w:val="003E0FA3"/>
    <w:rsid w:val="003E2685"/>
    <w:rsid w:val="003E379A"/>
    <w:rsid w:val="003E4924"/>
    <w:rsid w:val="003E5B33"/>
    <w:rsid w:val="003F0F9F"/>
    <w:rsid w:val="003F2983"/>
    <w:rsid w:val="003F29C4"/>
    <w:rsid w:val="004004E2"/>
    <w:rsid w:val="004007B2"/>
    <w:rsid w:val="004030F5"/>
    <w:rsid w:val="0040330F"/>
    <w:rsid w:val="004058A1"/>
    <w:rsid w:val="0040752C"/>
    <w:rsid w:val="004103F7"/>
    <w:rsid w:val="00411C95"/>
    <w:rsid w:val="00420715"/>
    <w:rsid w:val="00425229"/>
    <w:rsid w:val="004272F9"/>
    <w:rsid w:val="00433B9F"/>
    <w:rsid w:val="00435099"/>
    <w:rsid w:val="0044558D"/>
    <w:rsid w:val="004458E4"/>
    <w:rsid w:val="004543E8"/>
    <w:rsid w:val="00455841"/>
    <w:rsid w:val="00456220"/>
    <w:rsid w:val="00456265"/>
    <w:rsid w:val="004601CF"/>
    <w:rsid w:val="00460272"/>
    <w:rsid w:val="00460BE5"/>
    <w:rsid w:val="0046223D"/>
    <w:rsid w:val="00462619"/>
    <w:rsid w:val="00463663"/>
    <w:rsid w:val="00465442"/>
    <w:rsid w:val="00466D70"/>
    <w:rsid w:val="0046768A"/>
    <w:rsid w:val="00467B74"/>
    <w:rsid w:val="00474B51"/>
    <w:rsid w:val="00481625"/>
    <w:rsid w:val="00486C66"/>
    <w:rsid w:val="00486D43"/>
    <w:rsid w:val="00487B9A"/>
    <w:rsid w:val="00492A7E"/>
    <w:rsid w:val="00496441"/>
    <w:rsid w:val="004A1504"/>
    <w:rsid w:val="004A27BD"/>
    <w:rsid w:val="004A488D"/>
    <w:rsid w:val="004A6AD9"/>
    <w:rsid w:val="004AC519"/>
    <w:rsid w:val="004B0085"/>
    <w:rsid w:val="004B2653"/>
    <w:rsid w:val="004B26DF"/>
    <w:rsid w:val="004B4B5F"/>
    <w:rsid w:val="004B6689"/>
    <w:rsid w:val="004B7318"/>
    <w:rsid w:val="004C05CE"/>
    <w:rsid w:val="004C175D"/>
    <w:rsid w:val="004C2676"/>
    <w:rsid w:val="004C40C5"/>
    <w:rsid w:val="004C5F50"/>
    <w:rsid w:val="004D015C"/>
    <w:rsid w:val="004D118B"/>
    <w:rsid w:val="004D193B"/>
    <w:rsid w:val="004E02C3"/>
    <w:rsid w:val="004E5113"/>
    <w:rsid w:val="004E517B"/>
    <w:rsid w:val="004F3633"/>
    <w:rsid w:val="004F6D35"/>
    <w:rsid w:val="004F72D6"/>
    <w:rsid w:val="004F7A6A"/>
    <w:rsid w:val="005039F4"/>
    <w:rsid w:val="005050D3"/>
    <w:rsid w:val="00515E21"/>
    <w:rsid w:val="005206C9"/>
    <w:rsid w:val="00522278"/>
    <w:rsid w:val="00522CAA"/>
    <w:rsid w:val="0052532A"/>
    <w:rsid w:val="00532BE5"/>
    <w:rsid w:val="0053343B"/>
    <w:rsid w:val="00542B7D"/>
    <w:rsid w:val="005465AB"/>
    <w:rsid w:val="00550A26"/>
    <w:rsid w:val="00551C51"/>
    <w:rsid w:val="00553C96"/>
    <w:rsid w:val="00560010"/>
    <w:rsid w:val="00564E2A"/>
    <w:rsid w:val="0056543D"/>
    <w:rsid w:val="00570489"/>
    <w:rsid w:val="00574669"/>
    <w:rsid w:val="005758E0"/>
    <w:rsid w:val="00576345"/>
    <w:rsid w:val="005777CB"/>
    <w:rsid w:val="0058468A"/>
    <w:rsid w:val="0059073D"/>
    <w:rsid w:val="005A0542"/>
    <w:rsid w:val="005A0C80"/>
    <w:rsid w:val="005A112E"/>
    <w:rsid w:val="005A1540"/>
    <w:rsid w:val="005A2734"/>
    <w:rsid w:val="005A5D61"/>
    <w:rsid w:val="005B146D"/>
    <w:rsid w:val="005B336B"/>
    <w:rsid w:val="005C02DA"/>
    <w:rsid w:val="005C194E"/>
    <w:rsid w:val="005C6B50"/>
    <w:rsid w:val="005D1B64"/>
    <w:rsid w:val="005D4E3F"/>
    <w:rsid w:val="005D56D7"/>
    <w:rsid w:val="005D6D52"/>
    <w:rsid w:val="005D7A61"/>
    <w:rsid w:val="005E1755"/>
    <w:rsid w:val="005E4C84"/>
    <w:rsid w:val="005F32AF"/>
    <w:rsid w:val="005F4DB4"/>
    <w:rsid w:val="006013C9"/>
    <w:rsid w:val="00602E3B"/>
    <w:rsid w:val="00602E9B"/>
    <w:rsid w:val="00604419"/>
    <w:rsid w:val="00606181"/>
    <w:rsid w:val="006116D1"/>
    <w:rsid w:val="0061262D"/>
    <w:rsid w:val="00616951"/>
    <w:rsid w:val="006177C3"/>
    <w:rsid w:val="00624878"/>
    <w:rsid w:val="00627161"/>
    <w:rsid w:val="00631DDB"/>
    <w:rsid w:val="00633FB8"/>
    <w:rsid w:val="00637B33"/>
    <w:rsid w:val="0064075C"/>
    <w:rsid w:val="006408BA"/>
    <w:rsid w:val="0064463B"/>
    <w:rsid w:val="00644E0B"/>
    <w:rsid w:val="00644E19"/>
    <w:rsid w:val="00645836"/>
    <w:rsid w:val="0064677E"/>
    <w:rsid w:val="006468E1"/>
    <w:rsid w:val="0064749B"/>
    <w:rsid w:val="006515D7"/>
    <w:rsid w:val="00651F12"/>
    <w:rsid w:val="00653CC9"/>
    <w:rsid w:val="00655405"/>
    <w:rsid w:val="006563F2"/>
    <w:rsid w:val="00656513"/>
    <w:rsid w:val="00657704"/>
    <w:rsid w:val="00660A53"/>
    <w:rsid w:val="006717B5"/>
    <w:rsid w:val="00672CC4"/>
    <w:rsid w:val="00680631"/>
    <w:rsid w:val="0068224E"/>
    <w:rsid w:val="006844C1"/>
    <w:rsid w:val="00685394"/>
    <w:rsid w:val="006864F0"/>
    <w:rsid w:val="00690064"/>
    <w:rsid w:val="006A2330"/>
    <w:rsid w:val="006A5D16"/>
    <w:rsid w:val="006B0B7F"/>
    <w:rsid w:val="006B58CB"/>
    <w:rsid w:val="006B60FF"/>
    <w:rsid w:val="006B62D6"/>
    <w:rsid w:val="006C0046"/>
    <w:rsid w:val="006C0B6A"/>
    <w:rsid w:val="006C20AF"/>
    <w:rsid w:val="006C3E08"/>
    <w:rsid w:val="006C5550"/>
    <w:rsid w:val="006C664E"/>
    <w:rsid w:val="006C707D"/>
    <w:rsid w:val="006D045B"/>
    <w:rsid w:val="006D05BF"/>
    <w:rsid w:val="006D10EF"/>
    <w:rsid w:val="006D2B5C"/>
    <w:rsid w:val="006D503F"/>
    <w:rsid w:val="006E0531"/>
    <w:rsid w:val="006E2C45"/>
    <w:rsid w:val="006E3D13"/>
    <w:rsid w:val="006E57AC"/>
    <w:rsid w:val="006E631A"/>
    <w:rsid w:val="006F26B3"/>
    <w:rsid w:val="006F2F68"/>
    <w:rsid w:val="00701260"/>
    <w:rsid w:val="00706B46"/>
    <w:rsid w:val="00710CCF"/>
    <w:rsid w:val="0071109C"/>
    <w:rsid w:val="007118C9"/>
    <w:rsid w:val="0071429B"/>
    <w:rsid w:val="0071662D"/>
    <w:rsid w:val="007205F3"/>
    <w:rsid w:val="007210A8"/>
    <w:rsid w:val="00722CC9"/>
    <w:rsid w:val="00723B1A"/>
    <w:rsid w:val="00725DD5"/>
    <w:rsid w:val="0072678B"/>
    <w:rsid w:val="00727999"/>
    <w:rsid w:val="0073037B"/>
    <w:rsid w:val="00735296"/>
    <w:rsid w:val="007357E7"/>
    <w:rsid w:val="0074090D"/>
    <w:rsid w:val="00742531"/>
    <w:rsid w:val="007445BF"/>
    <w:rsid w:val="0074668E"/>
    <w:rsid w:val="007468AE"/>
    <w:rsid w:val="00746ED9"/>
    <w:rsid w:val="007508E4"/>
    <w:rsid w:val="00751CD8"/>
    <w:rsid w:val="00755C5B"/>
    <w:rsid w:val="00762E44"/>
    <w:rsid w:val="00763C56"/>
    <w:rsid w:val="007641EF"/>
    <w:rsid w:val="00764367"/>
    <w:rsid w:val="007649CB"/>
    <w:rsid w:val="00766F3A"/>
    <w:rsid w:val="007726CB"/>
    <w:rsid w:val="007921C1"/>
    <w:rsid w:val="0079413A"/>
    <w:rsid w:val="0079496C"/>
    <w:rsid w:val="007957D6"/>
    <w:rsid w:val="007958CA"/>
    <w:rsid w:val="007960F2"/>
    <w:rsid w:val="007977B2"/>
    <w:rsid w:val="007A15A8"/>
    <w:rsid w:val="007A22D7"/>
    <w:rsid w:val="007A68D2"/>
    <w:rsid w:val="007A732D"/>
    <w:rsid w:val="007B2161"/>
    <w:rsid w:val="007B7910"/>
    <w:rsid w:val="007B7F9E"/>
    <w:rsid w:val="007C73D0"/>
    <w:rsid w:val="007D1981"/>
    <w:rsid w:val="007E11B2"/>
    <w:rsid w:val="007E1498"/>
    <w:rsid w:val="007F1A5A"/>
    <w:rsid w:val="007F2B30"/>
    <w:rsid w:val="007F3E3A"/>
    <w:rsid w:val="007F4190"/>
    <w:rsid w:val="00804EBF"/>
    <w:rsid w:val="00806FAB"/>
    <w:rsid w:val="008113DC"/>
    <w:rsid w:val="00813950"/>
    <w:rsid w:val="0081438B"/>
    <w:rsid w:val="00814847"/>
    <w:rsid w:val="00820594"/>
    <w:rsid w:val="00820E17"/>
    <w:rsid w:val="008212D1"/>
    <w:rsid w:val="00822520"/>
    <w:rsid w:val="00823198"/>
    <w:rsid w:val="00824846"/>
    <w:rsid w:val="00826A73"/>
    <w:rsid w:val="008277D6"/>
    <w:rsid w:val="00827ACD"/>
    <w:rsid w:val="00827B28"/>
    <w:rsid w:val="008315B9"/>
    <w:rsid w:val="00831FFE"/>
    <w:rsid w:val="0083630E"/>
    <w:rsid w:val="00843255"/>
    <w:rsid w:val="0084772A"/>
    <w:rsid w:val="00855DD2"/>
    <w:rsid w:val="00860455"/>
    <w:rsid w:val="00860B2F"/>
    <w:rsid w:val="00861BAF"/>
    <w:rsid w:val="00864CB4"/>
    <w:rsid w:val="008721EC"/>
    <w:rsid w:val="0087245C"/>
    <w:rsid w:val="00872AAA"/>
    <w:rsid w:val="00882B6D"/>
    <w:rsid w:val="008934DB"/>
    <w:rsid w:val="00894F3E"/>
    <w:rsid w:val="008A1593"/>
    <w:rsid w:val="008A3055"/>
    <w:rsid w:val="008A3AAB"/>
    <w:rsid w:val="008A534D"/>
    <w:rsid w:val="008B17F2"/>
    <w:rsid w:val="008B265E"/>
    <w:rsid w:val="008B5C8F"/>
    <w:rsid w:val="008B5F77"/>
    <w:rsid w:val="008B7B05"/>
    <w:rsid w:val="008C4075"/>
    <w:rsid w:val="008C6B4D"/>
    <w:rsid w:val="008D1CA4"/>
    <w:rsid w:val="008D7DE2"/>
    <w:rsid w:val="008E1021"/>
    <w:rsid w:val="008E2C4D"/>
    <w:rsid w:val="008E779B"/>
    <w:rsid w:val="008F288B"/>
    <w:rsid w:val="008F2BD6"/>
    <w:rsid w:val="008F38C9"/>
    <w:rsid w:val="008F5D60"/>
    <w:rsid w:val="0090137F"/>
    <w:rsid w:val="00901602"/>
    <w:rsid w:val="00902EC3"/>
    <w:rsid w:val="0090384B"/>
    <w:rsid w:val="009333D1"/>
    <w:rsid w:val="00935E99"/>
    <w:rsid w:val="00937F6B"/>
    <w:rsid w:val="00942185"/>
    <w:rsid w:val="00944954"/>
    <w:rsid w:val="00946133"/>
    <w:rsid w:val="009478C8"/>
    <w:rsid w:val="009546A1"/>
    <w:rsid w:val="00954921"/>
    <w:rsid w:val="009569A3"/>
    <w:rsid w:val="009601C6"/>
    <w:rsid w:val="0096201F"/>
    <w:rsid w:val="0096524E"/>
    <w:rsid w:val="00965745"/>
    <w:rsid w:val="00965801"/>
    <w:rsid w:val="00971605"/>
    <w:rsid w:val="009720FF"/>
    <w:rsid w:val="00972380"/>
    <w:rsid w:val="00973382"/>
    <w:rsid w:val="00973D71"/>
    <w:rsid w:val="009750CC"/>
    <w:rsid w:val="009752F9"/>
    <w:rsid w:val="00981763"/>
    <w:rsid w:val="0099048F"/>
    <w:rsid w:val="00991F2F"/>
    <w:rsid w:val="00993E18"/>
    <w:rsid w:val="009942DC"/>
    <w:rsid w:val="009955F9"/>
    <w:rsid w:val="009968A3"/>
    <w:rsid w:val="009A2C3D"/>
    <w:rsid w:val="009A40FD"/>
    <w:rsid w:val="009A50F3"/>
    <w:rsid w:val="009A550D"/>
    <w:rsid w:val="009B3EBE"/>
    <w:rsid w:val="009B7338"/>
    <w:rsid w:val="009B7927"/>
    <w:rsid w:val="009C544E"/>
    <w:rsid w:val="009C625D"/>
    <w:rsid w:val="009D4251"/>
    <w:rsid w:val="009D6604"/>
    <w:rsid w:val="009D69ED"/>
    <w:rsid w:val="009E0FCC"/>
    <w:rsid w:val="009E15C1"/>
    <w:rsid w:val="009E1A99"/>
    <w:rsid w:val="009E38D8"/>
    <w:rsid w:val="009E5004"/>
    <w:rsid w:val="009E7FCE"/>
    <w:rsid w:val="009F1539"/>
    <w:rsid w:val="009F2787"/>
    <w:rsid w:val="009F4C46"/>
    <w:rsid w:val="009F7AF3"/>
    <w:rsid w:val="009F7EB0"/>
    <w:rsid w:val="00A02E0A"/>
    <w:rsid w:val="00A04D79"/>
    <w:rsid w:val="00A05AB4"/>
    <w:rsid w:val="00A06113"/>
    <w:rsid w:val="00A06855"/>
    <w:rsid w:val="00A06A84"/>
    <w:rsid w:val="00A12792"/>
    <w:rsid w:val="00A12C07"/>
    <w:rsid w:val="00A13F1E"/>
    <w:rsid w:val="00A14E09"/>
    <w:rsid w:val="00A16D19"/>
    <w:rsid w:val="00A16E33"/>
    <w:rsid w:val="00A174E7"/>
    <w:rsid w:val="00A20A7F"/>
    <w:rsid w:val="00A20F01"/>
    <w:rsid w:val="00A20F8D"/>
    <w:rsid w:val="00A2401B"/>
    <w:rsid w:val="00A245AB"/>
    <w:rsid w:val="00A25982"/>
    <w:rsid w:val="00A25C10"/>
    <w:rsid w:val="00A263A4"/>
    <w:rsid w:val="00A26F24"/>
    <w:rsid w:val="00A276E0"/>
    <w:rsid w:val="00A31FD7"/>
    <w:rsid w:val="00A32753"/>
    <w:rsid w:val="00A32C08"/>
    <w:rsid w:val="00A37FEC"/>
    <w:rsid w:val="00A43E0A"/>
    <w:rsid w:val="00A443A3"/>
    <w:rsid w:val="00A447AD"/>
    <w:rsid w:val="00A45BA9"/>
    <w:rsid w:val="00A543A1"/>
    <w:rsid w:val="00A56F5F"/>
    <w:rsid w:val="00A56FFC"/>
    <w:rsid w:val="00A575DA"/>
    <w:rsid w:val="00A63208"/>
    <w:rsid w:val="00A632EC"/>
    <w:rsid w:val="00A633F3"/>
    <w:rsid w:val="00A64035"/>
    <w:rsid w:val="00A646F2"/>
    <w:rsid w:val="00A648BD"/>
    <w:rsid w:val="00A67285"/>
    <w:rsid w:val="00A67793"/>
    <w:rsid w:val="00A70EA9"/>
    <w:rsid w:val="00A74D86"/>
    <w:rsid w:val="00A7713C"/>
    <w:rsid w:val="00A77B08"/>
    <w:rsid w:val="00A84E5C"/>
    <w:rsid w:val="00A9111B"/>
    <w:rsid w:val="00A94013"/>
    <w:rsid w:val="00A94308"/>
    <w:rsid w:val="00A955E4"/>
    <w:rsid w:val="00A95F25"/>
    <w:rsid w:val="00A979A5"/>
    <w:rsid w:val="00AA287C"/>
    <w:rsid w:val="00AA547E"/>
    <w:rsid w:val="00AC0EF8"/>
    <w:rsid w:val="00AD008D"/>
    <w:rsid w:val="00AD1151"/>
    <w:rsid w:val="00AD2132"/>
    <w:rsid w:val="00AD6657"/>
    <w:rsid w:val="00AD7B8A"/>
    <w:rsid w:val="00AE6169"/>
    <w:rsid w:val="00AF674E"/>
    <w:rsid w:val="00B01732"/>
    <w:rsid w:val="00B0453C"/>
    <w:rsid w:val="00B0785E"/>
    <w:rsid w:val="00B11A28"/>
    <w:rsid w:val="00B13ADF"/>
    <w:rsid w:val="00B13B9A"/>
    <w:rsid w:val="00B14010"/>
    <w:rsid w:val="00B2229E"/>
    <w:rsid w:val="00B23358"/>
    <w:rsid w:val="00B2341A"/>
    <w:rsid w:val="00B23659"/>
    <w:rsid w:val="00B30878"/>
    <w:rsid w:val="00B31421"/>
    <w:rsid w:val="00B351B6"/>
    <w:rsid w:val="00B47492"/>
    <w:rsid w:val="00B55E67"/>
    <w:rsid w:val="00B64CE5"/>
    <w:rsid w:val="00B667D8"/>
    <w:rsid w:val="00B777A1"/>
    <w:rsid w:val="00B8055A"/>
    <w:rsid w:val="00B834F0"/>
    <w:rsid w:val="00B83D7B"/>
    <w:rsid w:val="00B856A5"/>
    <w:rsid w:val="00B8602E"/>
    <w:rsid w:val="00B87415"/>
    <w:rsid w:val="00BA1606"/>
    <w:rsid w:val="00BA7760"/>
    <w:rsid w:val="00BB3DDF"/>
    <w:rsid w:val="00BB7561"/>
    <w:rsid w:val="00BC284B"/>
    <w:rsid w:val="00BC3830"/>
    <w:rsid w:val="00BC5D9B"/>
    <w:rsid w:val="00BC766C"/>
    <w:rsid w:val="00BD09E8"/>
    <w:rsid w:val="00BD2025"/>
    <w:rsid w:val="00BD4306"/>
    <w:rsid w:val="00BD5265"/>
    <w:rsid w:val="00BD7925"/>
    <w:rsid w:val="00BE11AF"/>
    <w:rsid w:val="00BE140C"/>
    <w:rsid w:val="00BE3862"/>
    <w:rsid w:val="00BE4035"/>
    <w:rsid w:val="00BE506E"/>
    <w:rsid w:val="00BE5733"/>
    <w:rsid w:val="00BE7AFE"/>
    <w:rsid w:val="00BF1EFB"/>
    <w:rsid w:val="00BF369E"/>
    <w:rsid w:val="00BF6085"/>
    <w:rsid w:val="00BF7D18"/>
    <w:rsid w:val="00C0056A"/>
    <w:rsid w:val="00C0324D"/>
    <w:rsid w:val="00C051BA"/>
    <w:rsid w:val="00C10ABB"/>
    <w:rsid w:val="00C10AE3"/>
    <w:rsid w:val="00C10CF1"/>
    <w:rsid w:val="00C12412"/>
    <w:rsid w:val="00C1327A"/>
    <w:rsid w:val="00C14ADD"/>
    <w:rsid w:val="00C14B79"/>
    <w:rsid w:val="00C17514"/>
    <w:rsid w:val="00C207C0"/>
    <w:rsid w:val="00C22015"/>
    <w:rsid w:val="00C22847"/>
    <w:rsid w:val="00C23B76"/>
    <w:rsid w:val="00C23BB9"/>
    <w:rsid w:val="00C26727"/>
    <w:rsid w:val="00C3288C"/>
    <w:rsid w:val="00C35DAA"/>
    <w:rsid w:val="00C37840"/>
    <w:rsid w:val="00C379C3"/>
    <w:rsid w:val="00C41347"/>
    <w:rsid w:val="00C425EF"/>
    <w:rsid w:val="00C52292"/>
    <w:rsid w:val="00C5313F"/>
    <w:rsid w:val="00C54745"/>
    <w:rsid w:val="00C608E6"/>
    <w:rsid w:val="00C6229E"/>
    <w:rsid w:val="00C62429"/>
    <w:rsid w:val="00C64732"/>
    <w:rsid w:val="00C663BC"/>
    <w:rsid w:val="00C73A0D"/>
    <w:rsid w:val="00C77670"/>
    <w:rsid w:val="00C801E7"/>
    <w:rsid w:val="00C81A0C"/>
    <w:rsid w:val="00C90529"/>
    <w:rsid w:val="00CA5F5B"/>
    <w:rsid w:val="00CB09B5"/>
    <w:rsid w:val="00CB0C95"/>
    <w:rsid w:val="00CB1522"/>
    <w:rsid w:val="00CB2F4F"/>
    <w:rsid w:val="00CB72B9"/>
    <w:rsid w:val="00CC1767"/>
    <w:rsid w:val="00CC46EE"/>
    <w:rsid w:val="00CC4757"/>
    <w:rsid w:val="00CC6FE0"/>
    <w:rsid w:val="00CC76BF"/>
    <w:rsid w:val="00CD1A48"/>
    <w:rsid w:val="00CD2A72"/>
    <w:rsid w:val="00CD6019"/>
    <w:rsid w:val="00CE04D2"/>
    <w:rsid w:val="00CE096B"/>
    <w:rsid w:val="00CE2D81"/>
    <w:rsid w:val="00CE5C4E"/>
    <w:rsid w:val="00CE7688"/>
    <w:rsid w:val="00CF0BDA"/>
    <w:rsid w:val="00CF0C49"/>
    <w:rsid w:val="00CF13AE"/>
    <w:rsid w:val="00CF16C9"/>
    <w:rsid w:val="00D10921"/>
    <w:rsid w:val="00D109FC"/>
    <w:rsid w:val="00D10D22"/>
    <w:rsid w:val="00D10D8E"/>
    <w:rsid w:val="00D11227"/>
    <w:rsid w:val="00D1264D"/>
    <w:rsid w:val="00D2205D"/>
    <w:rsid w:val="00D25F4B"/>
    <w:rsid w:val="00D270D8"/>
    <w:rsid w:val="00D27B87"/>
    <w:rsid w:val="00D35370"/>
    <w:rsid w:val="00D41CA6"/>
    <w:rsid w:val="00D41CEF"/>
    <w:rsid w:val="00D46C01"/>
    <w:rsid w:val="00D57AB9"/>
    <w:rsid w:val="00D63162"/>
    <w:rsid w:val="00D73DD2"/>
    <w:rsid w:val="00D7676A"/>
    <w:rsid w:val="00D77E83"/>
    <w:rsid w:val="00D82610"/>
    <w:rsid w:val="00D829D4"/>
    <w:rsid w:val="00D84F5B"/>
    <w:rsid w:val="00D85DE3"/>
    <w:rsid w:val="00D86402"/>
    <w:rsid w:val="00D92CC2"/>
    <w:rsid w:val="00D933EF"/>
    <w:rsid w:val="00D93E38"/>
    <w:rsid w:val="00D95A82"/>
    <w:rsid w:val="00D96BF3"/>
    <w:rsid w:val="00DA219B"/>
    <w:rsid w:val="00DA4401"/>
    <w:rsid w:val="00DA54D2"/>
    <w:rsid w:val="00DA7271"/>
    <w:rsid w:val="00DB54ED"/>
    <w:rsid w:val="00DC14E3"/>
    <w:rsid w:val="00DC4DBC"/>
    <w:rsid w:val="00DC6488"/>
    <w:rsid w:val="00DD67EA"/>
    <w:rsid w:val="00DE19FC"/>
    <w:rsid w:val="00DE1FA7"/>
    <w:rsid w:val="00DE4417"/>
    <w:rsid w:val="00DE5260"/>
    <w:rsid w:val="00DE562C"/>
    <w:rsid w:val="00DF2667"/>
    <w:rsid w:val="00DF3860"/>
    <w:rsid w:val="00DF3B67"/>
    <w:rsid w:val="00DF4A76"/>
    <w:rsid w:val="00DF7105"/>
    <w:rsid w:val="00E02884"/>
    <w:rsid w:val="00E034F8"/>
    <w:rsid w:val="00E036A0"/>
    <w:rsid w:val="00E03BD6"/>
    <w:rsid w:val="00E048E7"/>
    <w:rsid w:val="00E049F7"/>
    <w:rsid w:val="00E05339"/>
    <w:rsid w:val="00E07218"/>
    <w:rsid w:val="00E07701"/>
    <w:rsid w:val="00E12D45"/>
    <w:rsid w:val="00E135A2"/>
    <w:rsid w:val="00E15D98"/>
    <w:rsid w:val="00E15E9B"/>
    <w:rsid w:val="00E17B5A"/>
    <w:rsid w:val="00E227F2"/>
    <w:rsid w:val="00E23C7D"/>
    <w:rsid w:val="00E2646A"/>
    <w:rsid w:val="00E2683D"/>
    <w:rsid w:val="00E27084"/>
    <w:rsid w:val="00E30979"/>
    <w:rsid w:val="00E3363A"/>
    <w:rsid w:val="00E36C49"/>
    <w:rsid w:val="00E4550D"/>
    <w:rsid w:val="00E46ABC"/>
    <w:rsid w:val="00E57EBA"/>
    <w:rsid w:val="00E57F1E"/>
    <w:rsid w:val="00E60C75"/>
    <w:rsid w:val="00E645F8"/>
    <w:rsid w:val="00E6465F"/>
    <w:rsid w:val="00E71503"/>
    <w:rsid w:val="00E747F9"/>
    <w:rsid w:val="00E813D1"/>
    <w:rsid w:val="00E8192A"/>
    <w:rsid w:val="00E81BC2"/>
    <w:rsid w:val="00E955EE"/>
    <w:rsid w:val="00EA25A4"/>
    <w:rsid w:val="00EB3C5E"/>
    <w:rsid w:val="00EB6121"/>
    <w:rsid w:val="00EB7510"/>
    <w:rsid w:val="00ED0C91"/>
    <w:rsid w:val="00ED122C"/>
    <w:rsid w:val="00ED2EB1"/>
    <w:rsid w:val="00ED3999"/>
    <w:rsid w:val="00ED5E03"/>
    <w:rsid w:val="00ED62F5"/>
    <w:rsid w:val="00ED7B0D"/>
    <w:rsid w:val="00EE56CC"/>
    <w:rsid w:val="00EE5E20"/>
    <w:rsid w:val="00EF18C9"/>
    <w:rsid w:val="00EF271A"/>
    <w:rsid w:val="00EF4C75"/>
    <w:rsid w:val="00F01F18"/>
    <w:rsid w:val="00F11C6E"/>
    <w:rsid w:val="00F1321E"/>
    <w:rsid w:val="00F1359C"/>
    <w:rsid w:val="00F17BA6"/>
    <w:rsid w:val="00F17E08"/>
    <w:rsid w:val="00F2063A"/>
    <w:rsid w:val="00F24D8F"/>
    <w:rsid w:val="00F255C4"/>
    <w:rsid w:val="00F300C6"/>
    <w:rsid w:val="00F32C5D"/>
    <w:rsid w:val="00F33B2B"/>
    <w:rsid w:val="00F36F14"/>
    <w:rsid w:val="00F4123E"/>
    <w:rsid w:val="00F41278"/>
    <w:rsid w:val="00F426D0"/>
    <w:rsid w:val="00F42A8C"/>
    <w:rsid w:val="00F43B37"/>
    <w:rsid w:val="00F456F1"/>
    <w:rsid w:val="00F527C1"/>
    <w:rsid w:val="00F53198"/>
    <w:rsid w:val="00F54DE5"/>
    <w:rsid w:val="00F56108"/>
    <w:rsid w:val="00F61FBE"/>
    <w:rsid w:val="00F63F1C"/>
    <w:rsid w:val="00F645C9"/>
    <w:rsid w:val="00F648A4"/>
    <w:rsid w:val="00F67A42"/>
    <w:rsid w:val="00F71A10"/>
    <w:rsid w:val="00F72623"/>
    <w:rsid w:val="00F747E9"/>
    <w:rsid w:val="00F75534"/>
    <w:rsid w:val="00F7557B"/>
    <w:rsid w:val="00F76B07"/>
    <w:rsid w:val="00F8366A"/>
    <w:rsid w:val="00F84F87"/>
    <w:rsid w:val="00F92563"/>
    <w:rsid w:val="00F96A2B"/>
    <w:rsid w:val="00FA248A"/>
    <w:rsid w:val="00FA4D38"/>
    <w:rsid w:val="00FA6B4E"/>
    <w:rsid w:val="00FA7A72"/>
    <w:rsid w:val="00FB5517"/>
    <w:rsid w:val="00FB6DE8"/>
    <w:rsid w:val="00FC52D8"/>
    <w:rsid w:val="00FC6D00"/>
    <w:rsid w:val="00FC75D5"/>
    <w:rsid w:val="00FC7B91"/>
    <w:rsid w:val="00FD3035"/>
    <w:rsid w:val="00FD44AB"/>
    <w:rsid w:val="00FD55AC"/>
    <w:rsid w:val="00FD5E0F"/>
    <w:rsid w:val="00FD66B4"/>
    <w:rsid w:val="00FD6CCD"/>
    <w:rsid w:val="00FE4ED0"/>
    <w:rsid w:val="00FE6F2F"/>
    <w:rsid w:val="00FE70E0"/>
    <w:rsid w:val="00FF05B1"/>
    <w:rsid w:val="00FF2A90"/>
    <w:rsid w:val="00FF7010"/>
    <w:rsid w:val="01737A42"/>
    <w:rsid w:val="01821BD2"/>
    <w:rsid w:val="018385EE"/>
    <w:rsid w:val="0221A73D"/>
    <w:rsid w:val="026EE946"/>
    <w:rsid w:val="0296FA84"/>
    <w:rsid w:val="037A25BC"/>
    <w:rsid w:val="038405DD"/>
    <w:rsid w:val="038630AE"/>
    <w:rsid w:val="03BD4BAB"/>
    <w:rsid w:val="04164984"/>
    <w:rsid w:val="0450EE67"/>
    <w:rsid w:val="046EE406"/>
    <w:rsid w:val="04A46236"/>
    <w:rsid w:val="0516D334"/>
    <w:rsid w:val="051B17E7"/>
    <w:rsid w:val="05849CD5"/>
    <w:rsid w:val="059C0A44"/>
    <w:rsid w:val="05A9AE19"/>
    <w:rsid w:val="0603FCB6"/>
    <w:rsid w:val="0660C6E5"/>
    <w:rsid w:val="06B8EA1D"/>
    <w:rsid w:val="06C2C904"/>
    <w:rsid w:val="06ED86E1"/>
    <w:rsid w:val="06FB74B8"/>
    <w:rsid w:val="06FFCFCF"/>
    <w:rsid w:val="074C0A91"/>
    <w:rsid w:val="0799789E"/>
    <w:rsid w:val="079A75F8"/>
    <w:rsid w:val="07BA2575"/>
    <w:rsid w:val="08026911"/>
    <w:rsid w:val="08550887"/>
    <w:rsid w:val="08A780D0"/>
    <w:rsid w:val="09288DA2"/>
    <w:rsid w:val="092C0782"/>
    <w:rsid w:val="093185B1"/>
    <w:rsid w:val="0943B3D1"/>
    <w:rsid w:val="094F526A"/>
    <w:rsid w:val="09A0481E"/>
    <w:rsid w:val="0A254D8F"/>
    <w:rsid w:val="0A44E92B"/>
    <w:rsid w:val="0A5CF721"/>
    <w:rsid w:val="0A61CC65"/>
    <w:rsid w:val="0B1898BE"/>
    <w:rsid w:val="0B5B1EFE"/>
    <w:rsid w:val="0B9EDD67"/>
    <w:rsid w:val="0BE5B723"/>
    <w:rsid w:val="0C59BD6D"/>
    <w:rsid w:val="0C5F2B67"/>
    <w:rsid w:val="0CA35238"/>
    <w:rsid w:val="0D4010D3"/>
    <w:rsid w:val="0D6B419A"/>
    <w:rsid w:val="0D81F982"/>
    <w:rsid w:val="0D97F243"/>
    <w:rsid w:val="0DDB3CE8"/>
    <w:rsid w:val="0E5E2C26"/>
    <w:rsid w:val="0E8154A0"/>
    <w:rsid w:val="0F0B95D2"/>
    <w:rsid w:val="0F6038E4"/>
    <w:rsid w:val="0FBB5232"/>
    <w:rsid w:val="1000CE8E"/>
    <w:rsid w:val="10104595"/>
    <w:rsid w:val="10A11FE4"/>
    <w:rsid w:val="10A5AB1C"/>
    <w:rsid w:val="10ED72A4"/>
    <w:rsid w:val="10FB7B6C"/>
    <w:rsid w:val="11276954"/>
    <w:rsid w:val="118EAAFA"/>
    <w:rsid w:val="11970304"/>
    <w:rsid w:val="11B60BED"/>
    <w:rsid w:val="121EF3E7"/>
    <w:rsid w:val="12DC9568"/>
    <w:rsid w:val="12F41FCC"/>
    <w:rsid w:val="1347377D"/>
    <w:rsid w:val="13C48205"/>
    <w:rsid w:val="13EE519B"/>
    <w:rsid w:val="14AB8F74"/>
    <w:rsid w:val="152D0A62"/>
    <w:rsid w:val="154F9505"/>
    <w:rsid w:val="15B3ED13"/>
    <w:rsid w:val="15B68388"/>
    <w:rsid w:val="16E2C785"/>
    <w:rsid w:val="17583348"/>
    <w:rsid w:val="1758F30A"/>
    <w:rsid w:val="1797A575"/>
    <w:rsid w:val="1816F633"/>
    <w:rsid w:val="192E985F"/>
    <w:rsid w:val="194C71B0"/>
    <w:rsid w:val="195497D0"/>
    <w:rsid w:val="19CFD62B"/>
    <w:rsid w:val="19FBD299"/>
    <w:rsid w:val="1A14E33C"/>
    <w:rsid w:val="1A69E886"/>
    <w:rsid w:val="1A912360"/>
    <w:rsid w:val="1AA53B93"/>
    <w:rsid w:val="1B0047D5"/>
    <w:rsid w:val="1B4155CF"/>
    <w:rsid w:val="1B900457"/>
    <w:rsid w:val="1BBE577E"/>
    <w:rsid w:val="1C9C4DA8"/>
    <w:rsid w:val="1CE28A3D"/>
    <w:rsid w:val="1CF65344"/>
    <w:rsid w:val="1D67BF1B"/>
    <w:rsid w:val="1D695CCA"/>
    <w:rsid w:val="1DCED1C8"/>
    <w:rsid w:val="1EDC41D0"/>
    <w:rsid w:val="1EF0E9F5"/>
    <w:rsid w:val="1F824E3A"/>
    <w:rsid w:val="1FABA7B0"/>
    <w:rsid w:val="202F0854"/>
    <w:rsid w:val="210A93E9"/>
    <w:rsid w:val="211AD7FC"/>
    <w:rsid w:val="21280555"/>
    <w:rsid w:val="21DE2629"/>
    <w:rsid w:val="2204BCB2"/>
    <w:rsid w:val="235B5BC7"/>
    <w:rsid w:val="2396FFFF"/>
    <w:rsid w:val="23BAFD40"/>
    <w:rsid w:val="241AF729"/>
    <w:rsid w:val="24697679"/>
    <w:rsid w:val="2480B326"/>
    <w:rsid w:val="24AB8FFA"/>
    <w:rsid w:val="24AC24EA"/>
    <w:rsid w:val="24D1ED20"/>
    <w:rsid w:val="26745B55"/>
    <w:rsid w:val="2683EE2E"/>
    <w:rsid w:val="26B7C353"/>
    <w:rsid w:val="270CF656"/>
    <w:rsid w:val="2749E5EC"/>
    <w:rsid w:val="2837744E"/>
    <w:rsid w:val="28E88177"/>
    <w:rsid w:val="292DF351"/>
    <w:rsid w:val="2963B10A"/>
    <w:rsid w:val="2A04A65B"/>
    <w:rsid w:val="2A1C5774"/>
    <w:rsid w:val="2A28E36A"/>
    <w:rsid w:val="2A2C21A0"/>
    <w:rsid w:val="2A6C5673"/>
    <w:rsid w:val="2B429440"/>
    <w:rsid w:val="2B737FF4"/>
    <w:rsid w:val="2C083FDD"/>
    <w:rsid w:val="2CB08F43"/>
    <w:rsid w:val="2CDA4F42"/>
    <w:rsid w:val="2DB2420C"/>
    <w:rsid w:val="2E0D048B"/>
    <w:rsid w:val="2E153B61"/>
    <w:rsid w:val="2E77BFEE"/>
    <w:rsid w:val="2E96435C"/>
    <w:rsid w:val="2EDD876F"/>
    <w:rsid w:val="2F1004FF"/>
    <w:rsid w:val="2FB7BA86"/>
    <w:rsid w:val="2FF169CF"/>
    <w:rsid w:val="2FF34179"/>
    <w:rsid w:val="3019E836"/>
    <w:rsid w:val="3030866C"/>
    <w:rsid w:val="3060ED8E"/>
    <w:rsid w:val="3066897A"/>
    <w:rsid w:val="309B00E8"/>
    <w:rsid w:val="30C993F5"/>
    <w:rsid w:val="3113FF21"/>
    <w:rsid w:val="315ECE96"/>
    <w:rsid w:val="3223C762"/>
    <w:rsid w:val="334B96AD"/>
    <w:rsid w:val="338BA03B"/>
    <w:rsid w:val="339AFABF"/>
    <w:rsid w:val="33BC2909"/>
    <w:rsid w:val="33C9C9AA"/>
    <w:rsid w:val="3409BFEE"/>
    <w:rsid w:val="34134945"/>
    <w:rsid w:val="34B28FE1"/>
    <w:rsid w:val="3554C41E"/>
    <w:rsid w:val="355521FE"/>
    <w:rsid w:val="35B95265"/>
    <w:rsid w:val="3692C802"/>
    <w:rsid w:val="36BE8A7C"/>
    <w:rsid w:val="37015C92"/>
    <w:rsid w:val="375D04B1"/>
    <w:rsid w:val="3788E755"/>
    <w:rsid w:val="37BCFBE6"/>
    <w:rsid w:val="388D2462"/>
    <w:rsid w:val="39AA5C8F"/>
    <w:rsid w:val="39B5504D"/>
    <w:rsid w:val="3A007B7A"/>
    <w:rsid w:val="3A236483"/>
    <w:rsid w:val="3A7C6C84"/>
    <w:rsid w:val="3AE86ADC"/>
    <w:rsid w:val="3B26AA6C"/>
    <w:rsid w:val="3BA76E21"/>
    <w:rsid w:val="3BCFD3A0"/>
    <w:rsid w:val="3BFF5C51"/>
    <w:rsid w:val="3D42F60C"/>
    <w:rsid w:val="3D4D0F7B"/>
    <w:rsid w:val="3E3128D0"/>
    <w:rsid w:val="3EA5C085"/>
    <w:rsid w:val="3EBD84F1"/>
    <w:rsid w:val="3F5CE8EE"/>
    <w:rsid w:val="3F903911"/>
    <w:rsid w:val="3F928F6A"/>
    <w:rsid w:val="3FF01205"/>
    <w:rsid w:val="408A99BF"/>
    <w:rsid w:val="40E4654C"/>
    <w:rsid w:val="41683478"/>
    <w:rsid w:val="4179A293"/>
    <w:rsid w:val="418A956B"/>
    <w:rsid w:val="4222402F"/>
    <w:rsid w:val="42274A55"/>
    <w:rsid w:val="426812E7"/>
    <w:rsid w:val="42AAC74D"/>
    <w:rsid w:val="42BC70CC"/>
    <w:rsid w:val="42CE1CBC"/>
    <w:rsid w:val="42E2D5CE"/>
    <w:rsid w:val="4343FCC3"/>
    <w:rsid w:val="442CFCD3"/>
    <w:rsid w:val="446F91F3"/>
    <w:rsid w:val="453A526F"/>
    <w:rsid w:val="454C575C"/>
    <w:rsid w:val="45D274B1"/>
    <w:rsid w:val="46900EA4"/>
    <w:rsid w:val="4725BE02"/>
    <w:rsid w:val="47558FE0"/>
    <w:rsid w:val="47672684"/>
    <w:rsid w:val="477BF1C5"/>
    <w:rsid w:val="48C5AD0A"/>
    <w:rsid w:val="4921ED20"/>
    <w:rsid w:val="497A8A01"/>
    <w:rsid w:val="4A053C85"/>
    <w:rsid w:val="4A2258B4"/>
    <w:rsid w:val="4A71F5EC"/>
    <w:rsid w:val="4A7A651A"/>
    <w:rsid w:val="4ACCDF51"/>
    <w:rsid w:val="4AEF1E5C"/>
    <w:rsid w:val="4AF7DD13"/>
    <w:rsid w:val="4B22C91E"/>
    <w:rsid w:val="4BA719E7"/>
    <w:rsid w:val="4BA7CB9D"/>
    <w:rsid w:val="4BD4BAC0"/>
    <w:rsid w:val="4C088B3A"/>
    <w:rsid w:val="4C5A1E2E"/>
    <w:rsid w:val="4CA8995C"/>
    <w:rsid w:val="4D570354"/>
    <w:rsid w:val="4D9643D5"/>
    <w:rsid w:val="4E143C7A"/>
    <w:rsid w:val="4EC28D10"/>
    <w:rsid w:val="4EF091B2"/>
    <w:rsid w:val="4F4CB7A1"/>
    <w:rsid w:val="4F6E9CA8"/>
    <w:rsid w:val="4FAF7F4B"/>
    <w:rsid w:val="4FB3D593"/>
    <w:rsid w:val="501FC199"/>
    <w:rsid w:val="5131A5A8"/>
    <w:rsid w:val="51493C2D"/>
    <w:rsid w:val="51596BF3"/>
    <w:rsid w:val="5166B094"/>
    <w:rsid w:val="5189334E"/>
    <w:rsid w:val="519823BF"/>
    <w:rsid w:val="523512EC"/>
    <w:rsid w:val="524DE177"/>
    <w:rsid w:val="5344E5F7"/>
    <w:rsid w:val="53719AD9"/>
    <w:rsid w:val="53D12420"/>
    <w:rsid w:val="53DA57C8"/>
    <w:rsid w:val="53DD475E"/>
    <w:rsid w:val="53DD6412"/>
    <w:rsid w:val="540ABC85"/>
    <w:rsid w:val="54CD6CF7"/>
    <w:rsid w:val="553CE653"/>
    <w:rsid w:val="557613D9"/>
    <w:rsid w:val="55A7EB64"/>
    <w:rsid w:val="55BD09C2"/>
    <w:rsid w:val="56760C0A"/>
    <w:rsid w:val="57186E24"/>
    <w:rsid w:val="571D527C"/>
    <w:rsid w:val="57270E2F"/>
    <w:rsid w:val="5779D006"/>
    <w:rsid w:val="57A0B032"/>
    <w:rsid w:val="57B85C36"/>
    <w:rsid w:val="57CFD307"/>
    <w:rsid w:val="57D642C5"/>
    <w:rsid w:val="580EC236"/>
    <w:rsid w:val="5873ED3F"/>
    <w:rsid w:val="58CCEAE0"/>
    <w:rsid w:val="58FBA12A"/>
    <w:rsid w:val="592ABF63"/>
    <w:rsid w:val="592D378B"/>
    <w:rsid w:val="5AAB292A"/>
    <w:rsid w:val="5AD5669B"/>
    <w:rsid w:val="5AF6FCA7"/>
    <w:rsid w:val="5B1B68FE"/>
    <w:rsid w:val="5B4D3517"/>
    <w:rsid w:val="5B4F749B"/>
    <w:rsid w:val="5BE3B4B4"/>
    <w:rsid w:val="5BF5224F"/>
    <w:rsid w:val="5C4AC91D"/>
    <w:rsid w:val="5C7873E1"/>
    <w:rsid w:val="5D07D810"/>
    <w:rsid w:val="5E17D2EC"/>
    <w:rsid w:val="5E651B0D"/>
    <w:rsid w:val="5EEB5ABE"/>
    <w:rsid w:val="5F060AD0"/>
    <w:rsid w:val="5FB3DE60"/>
    <w:rsid w:val="5FC1B614"/>
    <w:rsid w:val="5FC631B7"/>
    <w:rsid w:val="5FED784F"/>
    <w:rsid w:val="5FF734A7"/>
    <w:rsid w:val="608B8042"/>
    <w:rsid w:val="60AE495E"/>
    <w:rsid w:val="60BB7101"/>
    <w:rsid w:val="61091849"/>
    <w:rsid w:val="620DF670"/>
    <w:rsid w:val="623D09BF"/>
    <w:rsid w:val="627CD1A4"/>
    <w:rsid w:val="6365D927"/>
    <w:rsid w:val="64226A28"/>
    <w:rsid w:val="6486D8BE"/>
    <w:rsid w:val="64D6BF57"/>
    <w:rsid w:val="652BA608"/>
    <w:rsid w:val="65871004"/>
    <w:rsid w:val="65E479A7"/>
    <w:rsid w:val="66069503"/>
    <w:rsid w:val="6662D634"/>
    <w:rsid w:val="66A037A6"/>
    <w:rsid w:val="66D2E841"/>
    <w:rsid w:val="66D48D72"/>
    <w:rsid w:val="677826FC"/>
    <w:rsid w:val="6806A87B"/>
    <w:rsid w:val="6824CB5E"/>
    <w:rsid w:val="6848ADA8"/>
    <w:rsid w:val="6849616D"/>
    <w:rsid w:val="6898450E"/>
    <w:rsid w:val="68A42970"/>
    <w:rsid w:val="68BD6CD7"/>
    <w:rsid w:val="68CCDD41"/>
    <w:rsid w:val="68D5CF38"/>
    <w:rsid w:val="68E7AE38"/>
    <w:rsid w:val="68EAF605"/>
    <w:rsid w:val="6902852D"/>
    <w:rsid w:val="69042E22"/>
    <w:rsid w:val="6952F02E"/>
    <w:rsid w:val="696F044A"/>
    <w:rsid w:val="6973A6A2"/>
    <w:rsid w:val="698A4976"/>
    <w:rsid w:val="69ADF07B"/>
    <w:rsid w:val="69E93A1D"/>
    <w:rsid w:val="6A3B0849"/>
    <w:rsid w:val="6A3E8E88"/>
    <w:rsid w:val="6A47DBD6"/>
    <w:rsid w:val="6A5D278B"/>
    <w:rsid w:val="6A651ED2"/>
    <w:rsid w:val="6A8B1ABE"/>
    <w:rsid w:val="6AB15F05"/>
    <w:rsid w:val="6AE87FB4"/>
    <w:rsid w:val="6B0E04D0"/>
    <w:rsid w:val="6B9318E6"/>
    <w:rsid w:val="6C30D65B"/>
    <w:rsid w:val="6C49D3D2"/>
    <w:rsid w:val="6C88C5D4"/>
    <w:rsid w:val="6CA23765"/>
    <w:rsid w:val="6CA9D94E"/>
    <w:rsid w:val="6DA30CB9"/>
    <w:rsid w:val="6DB71B43"/>
    <w:rsid w:val="6DE2D2F7"/>
    <w:rsid w:val="6DF4F758"/>
    <w:rsid w:val="6E561C97"/>
    <w:rsid w:val="6EA83826"/>
    <w:rsid w:val="6EC36735"/>
    <w:rsid w:val="6EFE7139"/>
    <w:rsid w:val="6F02EC60"/>
    <w:rsid w:val="6F75F236"/>
    <w:rsid w:val="6F7D3F28"/>
    <w:rsid w:val="70612CDE"/>
    <w:rsid w:val="710EB300"/>
    <w:rsid w:val="7133535D"/>
    <w:rsid w:val="713CC8A4"/>
    <w:rsid w:val="714B4FC5"/>
    <w:rsid w:val="71A0A8A3"/>
    <w:rsid w:val="71A33CBC"/>
    <w:rsid w:val="71B62AB1"/>
    <w:rsid w:val="71BDEDA0"/>
    <w:rsid w:val="71BEDE5E"/>
    <w:rsid w:val="71E96C95"/>
    <w:rsid w:val="71F1A9BE"/>
    <w:rsid w:val="72302E32"/>
    <w:rsid w:val="72331A84"/>
    <w:rsid w:val="7261845F"/>
    <w:rsid w:val="728B6F49"/>
    <w:rsid w:val="72911197"/>
    <w:rsid w:val="72BD2D6F"/>
    <w:rsid w:val="732E5497"/>
    <w:rsid w:val="73C00294"/>
    <w:rsid w:val="73C9487E"/>
    <w:rsid w:val="73E81E63"/>
    <w:rsid w:val="73FA1849"/>
    <w:rsid w:val="743D7C3B"/>
    <w:rsid w:val="74AB262F"/>
    <w:rsid w:val="7505EA67"/>
    <w:rsid w:val="75244E2F"/>
    <w:rsid w:val="761A5A56"/>
    <w:rsid w:val="76843BD8"/>
    <w:rsid w:val="76D9411B"/>
    <w:rsid w:val="772F834B"/>
    <w:rsid w:val="77665483"/>
    <w:rsid w:val="77A28467"/>
    <w:rsid w:val="77B6C404"/>
    <w:rsid w:val="77FA0815"/>
    <w:rsid w:val="782EDDBB"/>
    <w:rsid w:val="783D4C50"/>
    <w:rsid w:val="7896303D"/>
    <w:rsid w:val="78E1CACC"/>
    <w:rsid w:val="7926BB09"/>
    <w:rsid w:val="79A5A8A9"/>
    <w:rsid w:val="7A88D815"/>
    <w:rsid w:val="7ADC898C"/>
    <w:rsid w:val="7B10923D"/>
    <w:rsid w:val="7B429433"/>
    <w:rsid w:val="7B44C740"/>
    <w:rsid w:val="7B8883F4"/>
    <w:rsid w:val="7B9FB199"/>
    <w:rsid w:val="7CF6047F"/>
    <w:rsid w:val="7D0C66BB"/>
    <w:rsid w:val="7D6819F6"/>
    <w:rsid w:val="7DA9C977"/>
    <w:rsid w:val="7DE216A8"/>
    <w:rsid w:val="7E3DD23F"/>
    <w:rsid w:val="7E5D20DC"/>
    <w:rsid w:val="7E921A30"/>
    <w:rsid w:val="7ECB6552"/>
    <w:rsid w:val="7F4A2E80"/>
    <w:rsid w:val="7F9DF7A2"/>
    <w:rsid w:val="7FC16904"/>
    <w:rsid w:val="7FC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38B59"/>
  <w15:chartTrackingRefBased/>
  <w15:docId w15:val="{E639D19B-7E68-49C2-9498-4DC901D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D34CD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53343B"/>
    <w:pPr>
      <w:keepNext/>
      <w:keepLines/>
      <w:spacing w:before="240" w:after="240"/>
      <w:outlineLvl w:val="1"/>
    </w:pPr>
    <w:rPr>
      <w:rFonts w:ascii="Playfair Display" w:eastAsiaTheme="majorEastAsia" w:hAnsi="Playfair Display" w:cstheme="minorHAnsi"/>
      <w:b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20F0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2734"/>
    <w:pPr>
      <w:ind w:left="720"/>
      <w:contextualSpacing/>
    </w:pPr>
  </w:style>
  <w:style w:type="table" w:styleId="Rcsostblzat">
    <w:name w:val="Table Grid"/>
    <w:basedOn w:val="Normltblzat"/>
    <w:uiPriority w:val="39"/>
    <w:rsid w:val="005A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0542"/>
  </w:style>
  <w:style w:type="paragraph" w:styleId="llb">
    <w:name w:val="footer"/>
    <w:basedOn w:val="Norml"/>
    <w:link w:val="llb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0542"/>
  </w:style>
  <w:style w:type="character" w:styleId="Kiemels2">
    <w:name w:val="Strong"/>
    <w:basedOn w:val="Bekezdsalapbettpusa"/>
    <w:uiPriority w:val="22"/>
    <w:qFormat/>
    <w:rsid w:val="00F67A4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9F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F1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E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1E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E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E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60010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3D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3343B"/>
    <w:rPr>
      <w:rFonts w:ascii="Playfair Display" w:eastAsiaTheme="majorEastAsia" w:hAnsi="Playfair Display" w:cstheme="minorHAnsi"/>
      <w:b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87415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95B9A"/>
    <w:pPr>
      <w:tabs>
        <w:tab w:val="left" w:pos="426"/>
        <w:tab w:val="right" w:leader="dot" w:pos="9062"/>
      </w:tabs>
      <w:spacing w:after="100"/>
    </w:pPr>
    <w:rPr>
      <w:rFonts w:ascii="Playfair Display" w:hAnsi="Playfair Display" w:cstheme="minorHAnsi"/>
      <w:b/>
      <w:bC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F645C9"/>
    <w:pPr>
      <w:tabs>
        <w:tab w:val="right" w:leader="dot" w:pos="9062"/>
      </w:tabs>
      <w:spacing w:after="100"/>
      <w:ind w:left="1560" w:hanging="1134"/>
    </w:pPr>
    <w:rPr>
      <w:rFonts w:cstheme="minorHAnsi"/>
      <w:b/>
      <w:noProof/>
    </w:rPr>
  </w:style>
  <w:style w:type="character" w:styleId="Hiperhivatkozs">
    <w:name w:val="Hyperlink"/>
    <w:basedOn w:val="Bekezdsalapbettpusa"/>
    <w:uiPriority w:val="99"/>
    <w:unhideWhenUsed/>
    <w:rsid w:val="00B8741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semiHidden/>
    <w:rsid w:val="008B2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B265E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Lbjegyzet-hivatkozs">
    <w:name w:val="footnote reference"/>
    <w:semiHidden/>
    <w:rsid w:val="008B265E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A20F0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71109C"/>
    <w:pPr>
      <w:tabs>
        <w:tab w:val="right" w:leader="dot" w:pos="9062"/>
      </w:tabs>
      <w:spacing w:after="100"/>
      <w:ind w:left="709"/>
    </w:pPr>
  </w:style>
  <w:style w:type="paragraph" w:customStyle="1" w:styleId="Standard">
    <w:name w:val="Standard"/>
    <w:rsid w:val="006577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6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ktori@mab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2.mab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0F50F-F68C-4D97-AD05-E3BC0961D70E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2.xml><?xml version="1.0" encoding="utf-8"?>
<ds:datastoreItem xmlns:ds="http://schemas.openxmlformats.org/officeDocument/2006/customXml" ds:itemID="{F58B1DCC-C389-4111-A655-24DF98FFE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5635FF-0FD7-418F-9929-F91F91D7B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9FDB3-6347-4BA2-8A5C-1A7A388EE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749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Dányi Beatrix</dc:creator>
  <cp:keywords/>
  <dc:description/>
  <cp:lastModifiedBy>Dányi Beatrix</cp:lastModifiedBy>
  <cp:revision>111</cp:revision>
  <cp:lastPrinted>2024-04-18T13:57:00Z</cp:lastPrinted>
  <dcterms:created xsi:type="dcterms:W3CDTF">2020-05-13T13:47:00Z</dcterms:created>
  <dcterms:modified xsi:type="dcterms:W3CDTF">2024-04-18T13:57:00Z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