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D1D94" w14:textId="77777777" w:rsidR="0030004A" w:rsidRPr="0030004A" w:rsidRDefault="0030004A">
      <w:pPr>
        <w:spacing w:line="241" w:lineRule="exact"/>
        <w:ind w:right="308"/>
        <w:jc w:val="right"/>
        <w:rPr>
          <w:rFonts w:ascii="Playfair Display" w:hAnsi="Playfair Display"/>
          <w:b/>
        </w:rPr>
      </w:pPr>
    </w:p>
    <w:p w14:paraId="2D8D1D95" w14:textId="77777777" w:rsidR="0030004A" w:rsidRPr="0030004A" w:rsidRDefault="0030004A" w:rsidP="00300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right="306"/>
        <w:jc w:val="center"/>
        <w:rPr>
          <w:rFonts w:ascii="Playfair Display" w:hAnsi="Playfair Display"/>
          <w:b/>
          <w:sz w:val="24"/>
        </w:rPr>
      </w:pPr>
      <w:r w:rsidRPr="0030004A">
        <w:rPr>
          <w:rFonts w:ascii="Playfair Display" w:hAnsi="Playfair Display"/>
          <w:b/>
          <w:sz w:val="24"/>
        </w:rPr>
        <w:t>A MAB akkreditációs elvárásai, SZAKMAI BÍRÁLATI SZEMPONTJAI (</w:t>
      </w:r>
      <w:proofErr w:type="spellStart"/>
      <w:r w:rsidRPr="0030004A">
        <w:rPr>
          <w:rFonts w:ascii="Playfair Display" w:hAnsi="Playfair Display"/>
          <w:b/>
          <w:sz w:val="24"/>
        </w:rPr>
        <w:t>SzBSz</w:t>
      </w:r>
      <w:proofErr w:type="spellEnd"/>
      <w:r w:rsidRPr="0030004A">
        <w:rPr>
          <w:rFonts w:ascii="Playfair Display" w:hAnsi="Playfair Display"/>
          <w:b/>
          <w:sz w:val="24"/>
        </w:rPr>
        <w:t>) felsőoktatási szakképzés (</w:t>
      </w:r>
      <w:proofErr w:type="spellStart"/>
      <w:r w:rsidRPr="0030004A">
        <w:rPr>
          <w:rFonts w:ascii="Playfair Display" w:hAnsi="Playfair Display"/>
          <w:b/>
          <w:sz w:val="24"/>
        </w:rPr>
        <w:t>Fsz</w:t>
      </w:r>
      <w:proofErr w:type="spellEnd"/>
      <w:r w:rsidRPr="0030004A">
        <w:rPr>
          <w:rFonts w:ascii="Playfair Display" w:hAnsi="Playfair Display"/>
          <w:b/>
          <w:sz w:val="24"/>
        </w:rPr>
        <w:t>) indításának véleményezésében</w:t>
      </w:r>
    </w:p>
    <w:p w14:paraId="2D8D1D96" w14:textId="77777777" w:rsidR="00D46B34" w:rsidRDefault="00D46B34">
      <w:pPr>
        <w:pStyle w:val="Szvegtrzs"/>
        <w:spacing w:before="6"/>
        <w:rPr>
          <w:i/>
          <w:sz w:val="9"/>
        </w:rPr>
      </w:pPr>
    </w:p>
    <w:p w14:paraId="2D8D1D97" w14:textId="77777777" w:rsidR="00D46B34" w:rsidRDefault="00D46B34">
      <w:pPr>
        <w:pStyle w:val="Szvegtrzs"/>
        <w:spacing w:before="1"/>
        <w:rPr>
          <w:i/>
          <w:sz w:val="6"/>
        </w:rPr>
      </w:pPr>
    </w:p>
    <w:p w14:paraId="2D8D1D98" w14:textId="77777777" w:rsidR="0030004A" w:rsidRPr="0030004A" w:rsidRDefault="0030004A" w:rsidP="0030004A">
      <w:pPr>
        <w:spacing w:after="120"/>
        <w:rPr>
          <w:rFonts w:ascii="Playfair Display" w:hAnsi="Playfair Display"/>
          <w:b/>
          <w:szCs w:val="20"/>
        </w:rPr>
      </w:pPr>
      <w:r w:rsidRPr="0030004A">
        <w:rPr>
          <w:rFonts w:ascii="Playfair Display" w:hAnsi="Playfair Display"/>
          <w:b/>
          <w:szCs w:val="20"/>
        </w:rPr>
        <w:t>Jogszabályi háttér:</w:t>
      </w:r>
    </w:p>
    <w:p w14:paraId="2D8D1D99" w14:textId="24C826C0" w:rsidR="0030004A" w:rsidRPr="0030004A" w:rsidRDefault="0030004A" w:rsidP="0030004A">
      <w:pPr>
        <w:spacing w:after="120"/>
        <w:jc w:val="both"/>
        <w:rPr>
          <w:rFonts w:ascii="Playfair Display" w:hAnsi="Playfair Display"/>
          <w:szCs w:val="20"/>
        </w:rPr>
      </w:pPr>
      <w:r w:rsidRPr="0030004A">
        <w:rPr>
          <w:rFonts w:ascii="Playfair Display" w:hAnsi="Playfair Display"/>
          <w:szCs w:val="20"/>
        </w:rPr>
        <w:t>A MAB a szakképzés indítása szakmai bírálati szempontjainak (</w:t>
      </w:r>
      <w:proofErr w:type="spellStart"/>
      <w:r w:rsidRPr="0030004A">
        <w:rPr>
          <w:rFonts w:ascii="Playfair Display" w:hAnsi="Playfair Display"/>
          <w:szCs w:val="20"/>
        </w:rPr>
        <w:t>SzBSz</w:t>
      </w:r>
      <w:proofErr w:type="spellEnd"/>
      <w:r w:rsidRPr="0030004A">
        <w:rPr>
          <w:rFonts w:ascii="Playfair Display" w:hAnsi="Playfair Display"/>
          <w:szCs w:val="20"/>
        </w:rPr>
        <w:t xml:space="preserve">) összeállításánál kiindulási </w:t>
      </w:r>
      <w:r w:rsidRPr="001A6456">
        <w:rPr>
          <w:rFonts w:ascii="Playfair Display" w:hAnsi="Playfair Display"/>
          <w:szCs w:val="20"/>
        </w:rPr>
        <w:t>alapnak tekinti a nemzeti felsőoktatásról szóló 2011. évi CCIV. törvény (</w:t>
      </w:r>
      <w:proofErr w:type="spellStart"/>
      <w:r w:rsidRPr="001A6456">
        <w:rPr>
          <w:rFonts w:ascii="Playfair Display" w:hAnsi="Playfair Display"/>
          <w:szCs w:val="20"/>
        </w:rPr>
        <w:t>Nftv</w:t>
      </w:r>
      <w:proofErr w:type="spellEnd"/>
      <w:r w:rsidRPr="001A6456">
        <w:rPr>
          <w:rFonts w:ascii="Playfair Display" w:hAnsi="Playfair Display"/>
          <w:szCs w:val="20"/>
        </w:rPr>
        <w:t>.) vonatkozó, e törvény rendelkezéseit végrehajtási rendelete, a 87/2015. Korm. rend. (</w:t>
      </w:r>
      <w:proofErr w:type="spellStart"/>
      <w:r w:rsidRPr="001A6456">
        <w:rPr>
          <w:rFonts w:ascii="Playfair Display" w:hAnsi="Playfair Display"/>
          <w:szCs w:val="20"/>
        </w:rPr>
        <w:t>Nftv</w:t>
      </w:r>
      <w:proofErr w:type="spellEnd"/>
      <w:r w:rsidRPr="001A6456">
        <w:rPr>
          <w:rFonts w:ascii="Playfair Display" w:hAnsi="Playfair Display"/>
          <w:szCs w:val="20"/>
        </w:rPr>
        <w:t xml:space="preserve">. </w:t>
      </w:r>
      <w:proofErr w:type="spellStart"/>
      <w:r w:rsidRPr="001A6456">
        <w:rPr>
          <w:rFonts w:ascii="Playfair Display" w:hAnsi="Playfair Display"/>
          <w:szCs w:val="20"/>
        </w:rPr>
        <w:t>vhr.</w:t>
      </w:r>
      <w:proofErr w:type="spellEnd"/>
      <w:r w:rsidRPr="001A6456">
        <w:rPr>
          <w:rFonts w:ascii="Playfair Display" w:hAnsi="Playfair Display"/>
          <w:szCs w:val="20"/>
        </w:rPr>
        <w:t>) 21. § (1) és (5) pontja előírásait, illetve a 230/2012. Korm. rend., különösen a 12. § (4) pontjában foglaltakat</w:t>
      </w:r>
      <w:r w:rsidRPr="001A6456">
        <w:rPr>
          <w:rStyle w:val="Lbjegyzet-hivatkozs"/>
          <w:rFonts w:ascii="Playfair Display" w:hAnsi="Playfair Display"/>
          <w:szCs w:val="20"/>
        </w:rPr>
        <w:footnoteReference w:id="1"/>
      </w:r>
      <w:r w:rsidRPr="001A6456">
        <w:rPr>
          <w:rFonts w:ascii="Playfair Display" w:hAnsi="Playfair Display"/>
          <w:szCs w:val="20"/>
        </w:rPr>
        <w:t xml:space="preserve">, valamint a </w:t>
      </w:r>
      <w:proofErr w:type="spellStart"/>
      <w:r w:rsidR="00CD451A" w:rsidRPr="001A6456">
        <w:rPr>
          <w:rFonts w:ascii="Playfair Display" w:hAnsi="Playfair Display"/>
        </w:rPr>
        <w:t>A</w:t>
      </w:r>
      <w:proofErr w:type="spellEnd"/>
      <w:r w:rsidR="00CD451A" w:rsidRPr="001A6456">
        <w:rPr>
          <w:rFonts w:ascii="Playfair Display" w:hAnsi="Playfair Display"/>
        </w:rPr>
        <w:t xml:space="preserve"> felsőoktatási szakképzések, az alap- és mesterképzések, valamint hitéleti képzések a 2022/23-as tanévtől alkalmazandó képzési és kimeneti követelményei című dokumentum </w:t>
      </w:r>
      <w:r w:rsidRPr="001A6456">
        <w:rPr>
          <w:rFonts w:ascii="Playfair Display" w:hAnsi="Playfair Display"/>
          <w:szCs w:val="20"/>
        </w:rPr>
        <w:t>vonatkozó előírásait.</w:t>
      </w:r>
    </w:p>
    <w:p w14:paraId="2D8D1D9A" w14:textId="77777777" w:rsidR="0030004A" w:rsidRDefault="0030004A">
      <w:pPr>
        <w:pStyle w:val="Szvegtrzs"/>
        <w:rPr>
          <w:i/>
        </w:rPr>
      </w:pPr>
    </w:p>
    <w:p w14:paraId="2D8D1D9B" w14:textId="77777777" w:rsidR="00D46B34" w:rsidRPr="0030004A" w:rsidRDefault="00E23C72" w:rsidP="0030004A">
      <w:pPr>
        <w:pStyle w:val="Cmsor1"/>
        <w:spacing w:before="240" w:after="240"/>
        <w:ind w:left="0"/>
        <w:jc w:val="center"/>
        <w:rPr>
          <w:rFonts w:ascii="Playfair Display" w:hAnsi="Playfair Display"/>
          <w:u w:val="none"/>
        </w:rPr>
      </w:pPr>
      <w:r w:rsidRPr="0030004A">
        <w:rPr>
          <w:rFonts w:ascii="Playfair Display" w:hAnsi="Playfair Display"/>
          <w:u w:val="none"/>
        </w:rPr>
        <w:t>A FELSŐOKTATÁSI SZAKKÉPZÉST ILLETŐEN HASZNÁLT FOGALMAK ÉRTELMEZÉSE</w:t>
      </w:r>
    </w:p>
    <w:p w14:paraId="2D8D1D9C" w14:textId="77777777" w:rsidR="00D46B34" w:rsidRDefault="00D46B34">
      <w:pPr>
        <w:pStyle w:val="Szvegtrzs"/>
        <w:spacing w:before="4"/>
        <w:rPr>
          <w:b/>
          <w:sz w:val="7"/>
        </w:rPr>
      </w:pPr>
    </w:p>
    <w:tbl>
      <w:tblPr>
        <w:tblStyle w:val="TableNormal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D46B34" w:rsidRPr="0030004A" w14:paraId="2D8D1D9E" w14:textId="77777777" w:rsidTr="000921E7">
        <w:trPr>
          <w:trHeight w:val="686"/>
        </w:trPr>
        <w:tc>
          <w:tcPr>
            <w:tcW w:w="10065" w:type="dxa"/>
          </w:tcPr>
          <w:p w14:paraId="2D8D1D9D" w14:textId="77777777" w:rsidR="00D46B34" w:rsidRPr="0030004A" w:rsidRDefault="00E23C72" w:rsidP="000921E7">
            <w:pPr>
              <w:pStyle w:val="TableParagraph"/>
              <w:ind w:left="68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feladatprofil</w:t>
            </w:r>
            <w:r w:rsidR="0030004A" w:rsidRPr="0030004A">
              <w:rPr>
                <w:rStyle w:val="Lbjegyzet-hivatkozs"/>
                <w:rFonts w:ascii="Playfair Display" w:hAnsi="Playfair Display"/>
                <w:b/>
                <w:sz w:val="20"/>
                <w:szCs w:val="20"/>
              </w:rPr>
              <w:footnoteReference w:id="2"/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:</w:t>
            </w:r>
            <w:r w:rsidRPr="0030004A">
              <w:rPr>
                <w:rFonts w:ascii="Playfair Display" w:hAnsi="Playfair Display"/>
                <w:b/>
                <w:i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a felsőoktatási szakképzettséggel ellátható legjellemzőbb tevékenység, feladatkör, munkaterület. </w:t>
            </w:r>
            <w:r w:rsidRPr="000921E7">
              <w:rPr>
                <w:rFonts w:ascii="Playfair Display" w:hAnsi="Playfair Display"/>
                <w:sz w:val="20"/>
                <w:szCs w:val="20"/>
              </w:rPr>
              <w:t>(</w:t>
            </w:r>
            <w:r w:rsidR="000921E7" w:rsidRPr="000921E7">
              <w:rPr>
                <w:rFonts w:ascii="Playfair Display" w:hAnsi="Playfair Display"/>
                <w:sz w:val="20"/>
                <w:szCs w:val="20"/>
              </w:rPr>
              <w:t>t</w:t>
            </w:r>
            <w:r w:rsidRPr="000921E7">
              <w:rPr>
                <w:rFonts w:ascii="Playfair Display" w:hAnsi="Playfair Display"/>
                <w:sz w:val="20"/>
                <w:szCs w:val="20"/>
              </w:rPr>
              <w:t>artalmát lásd az adott KKK 4. pontjában és 7. (A felsőoktatási szakképzés célja) pontjában.)</w:t>
            </w:r>
          </w:p>
        </w:tc>
      </w:tr>
      <w:tr w:rsidR="00D46B34" w:rsidRPr="0030004A" w14:paraId="2D8D1DA5" w14:textId="77777777" w:rsidTr="000921E7">
        <w:trPr>
          <w:trHeight w:val="2034"/>
        </w:trPr>
        <w:tc>
          <w:tcPr>
            <w:tcW w:w="10065" w:type="dxa"/>
          </w:tcPr>
          <w:p w14:paraId="2D8D1D9F" w14:textId="77777777" w:rsidR="00D46B34" w:rsidRPr="0030004A" w:rsidRDefault="00E23C72" w:rsidP="000921E7">
            <w:pPr>
              <w:pStyle w:val="TableParagraph"/>
              <w:rPr>
                <w:rFonts w:ascii="Playfair Display" w:hAnsi="Playfair Display"/>
                <w:sz w:val="20"/>
                <w:szCs w:val="20"/>
              </w:rPr>
            </w:pPr>
            <w:r w:rsidRPr="000921E7">
              <w:rPr>
                <w:rFonts w:ascii="Playfair Display" w:hAnsi="Playfair Display"/>
                <w:b/>
                <w:sz w:val="20"/>
                <w:szCs w:val="20"/>
              </w:rPr>
              <w:t>a szakképzés szerkezete</w:t>
            </w:r>
            <w:r w:rsidR="000921E7" w:rsidRPr="000921E7">
              <w:rPr>
                <w:rStyle w:val="Lbjegyzet-hivatkozs"/>
                <w:rFonts w:ascii="Playfair Display" w:hAnsi="Playfair Display"/>
                <w:b/>
                <w:sz w:val="20"/>
                <w:szCs w:val="20"/>
              </w:rPr>
              <w:footnoteReference w:id="3"/>
            </w:r>
            <w:r w:rsidRPr="000921E7">
              <w:rPr>
                <w:rFonts w:ascii="Playfair Display" w:hAnsi="Playfair Display"/>
                <w:b/>
                <w:sz w:val="20"/>
                <w:szCs w:val="20"/>
              </w:rPr>
              <w:t>:</w:t>
            </w:r>
            <w:r w:rsidRPr="0030004A">
              <w:rPr>
                <w:rFonts w:ascii="Playfair Display" w:hAnsi="Playfair Display"/>
                <w:b/>
                <w:i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a felsőoktatási szakképzés az alábbi modulokból épül fel:</w:t>
            </w:r>
          </w:p>
          <w:p w14:paraId="2D8D1DA0" w14:textId="77777777" w:rsidR="00D46B34" w:rsidRPr="0030004A" w:rsidRDefault="00E23C72" w:rsidP="000921E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 xml:space="preserve">valamennyi felsőoktatási szakképzés közös (kompetencia) modulja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legfeljebb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12</w:t>
            </w:r>
            <w:r w:rsidRPr="0030004A">
              <w:rPr>
                <w:rFonts w:ascii="Playfair Display" w:hAnsi="Playfair Display"/>
                <w:b/>
                <w:spacing w:val="-20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kreditértékben;</w:t>
            </w:r>
          </w:p>
          <w:p w14:paraId="2D8D1DA1" w14:textId="77777777" w:rsidR="00D46B34" w:rsidRPr="000921E7" w:rsidRDefault="000921E7" w:rsidP="000921E7">
            <w:pPr>
              <w:pStyle w:val="TableParagraph"/>
              <w:ind w:left="431"/>
              <w:rPr>
                <w:rFonts w:ascii="Playfair Display" w:hAnsi="Playfair Display"/>
                <w:sz w:val="20"/>
                <w:szCs w:val="20"/>
              </w:rPr>
            </w:pPr>
            <w:r w:rsidRPr="000921E7">
              <w:rPr>
                <w:rFonts w:ascii="Playfair Display" w:hAnsi="Playfair Display"/>
                <w:sz w:val="20"/>
                <w:szCs w:val="20"/>
              </w:rPr>
              <w:t>(t</w:t>
            </w:r>
            <w:r w:rsidR="00E23C72" w:rsidRPr="000921E7">
              <w:rPr>
                <w:rFonts w:ascii="Playfair Display" w:hAnsi="Playfair Display"/>
                <w:sz w:val="20"/>
                <w:szCs w:val="20"/>
              </w:rPr>
              <w:t>artalmát lásd a 18/2016. EMMI rendelet 2. mellékletében)</w:t>
            </w:r>
          </w:p>
          <w:p w14:paraId="2D8D1DA2" w14:textId="77777777" w:rsidR="00D46B34" w:rsidRPr="0030004A" w:rsidRDefault="00E23C72" w:rsidP="000921E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ind w:right="59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 xml:space="preserve">képzési terület szerinti közös modul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legfeljebb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 xml:space="preserve">21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kreditértékben, amelyből a képzési ág szerinti közös modul legfeljebb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15</w:t>
            </w:r>
            <w:r w:rsidRPr="0030004A">
              <w:rPr>
                <w:rFonts w:ascii="Playfair Display" w:hAnsi="Playfair Display"/>
                <w:b/>
                <w:spacing w:val="-2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kredit;</w:t>
            </w:r>
          </w:p>
          <w:p w14:paraId="2D8D1DA3" w14:textId="77777777" w:rsidR="00D46B34" w:rsidRPr="0030004A" w:rsidRDefault="00E23C72" w:rsidP="000921E7">
            <w:pPr>
              <w:pStyle w:val="TableParagraph"/>
              <w:numPr>
                <w:ilvl w:val="0"/>
                <w:numId w:val="3"/>
              </w:numPr>
              <w:tabs>
                <w:tab w:val="left" w:pos="429"/>
                <w:tab w:val="left" w:pos="430"/>
              </w:tabs>
              <w:rPr>
                <w:rFonts w:ascii="Playfair Display" w:hAnsi="Playfair Display"/>
                <w:b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a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szakképzés modulja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, szakirányok esetén a szakirányok szakképzési modulja legfeljebb</w:t>
            </w:r>
            <w:r w:rsidRPr="0030004A">
              <w:rPr>
                <w:rFonts w:ascii="Playfair Display" w:hAnsi="Playfair Display"/>
                <w:spacing w:val="-5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>87</w:t>
            </w:r>
          </w:p>
          <w:p w14:paraId="2D8D1DA4" w14:textId="77777777" w:rsidR="00D46B34" w:rsidRPr="0030004A" w:rsidRDefault="00E23C72" w:rsidP="000921E7">
            <w:pPr>
              <w:pStyle w:val="TableParagraph"/>
              <w:ind w:left="431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kreditértékben, amelyből a gyakorlati képzés kreditértéke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 xml:space="preserve">30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 xml:space="preserve">kredit; a specializáló kreditértéke legfeljebb </w:t>
            </w:r>
            <w:r w:rsidRPr="0030004A">
              <w:rPr>
                <w:rFonts w:ascii="Playfair Display" w:hAnsi="Playfair Display"/>
                <w:b/>
                <w:sz w:val="20"/>
                <w:szCs w:val="20"/>
              </w:rPr>
              <w:t xml:space="preserve">15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kredit.</w:t>
            </w:r>
          </w:p>
        </w:tc>
      </w:tr>
      <w:tr w:rsidR="000921E7" w:rsidRPr="0030004A" w14:paraId="2D8D1DAB" w14:textId="77777777" w:rsidTr="000921E7">
        <w:trPr>
          <w:trHeight w:val="2034"/>
        </w:trPr>
        <w:tc>
          <w:tcPr>
            <w:tcW w:w="10065" w:type="dxa"/>
          </w:tcPr>
          <w:p w14:paraId="2D8D1DA6" w14:textId="77777777" w:rsidR="000921E7" w:rsidRDefault="000921E7" w:rsidP="000921E7">
            <w:pPr>
              <w:pStyle w:val="TableParagraph"/>
              <w:ind w:left="137" w:right="147"/>
              <w:jc w:val="both"/>
              <w:rPr>
                <w:rFonts w:ascii="Playfair Display" w:hAnsi="Playfair Display"/>
                <w:sz w:val="20"/>
                <w:szCs w:val="20"/>
              </w:rPr>
            </w:pPr>
            <w:r>
              <w:rPr>
                <w:rFonts w:ascii="Playfair Display" w:hAnsi="Playfair Display"/>
                <w:b/>
                <w:sz w:val="20"/>
                <w:szCs w:val="20"/>
              </w:rPr>
              <w:t>szakmai gyakorlat</w:t>
            </w:r>
            <w:r>
              <w:rPr>
                <w:rStyle w:val="Lbjegyzet-hivatkozs"/>
                <w:rFonts w:ascii="Playfair Display" w:hAnsi="Playfair Display"/>
                <w:b/>
                <w:sz w:val="20"/>
                <w:szCs w:val="20"/>
              </w:rPr>
              <w:footnoteReference w:id="4"/>
            </w:r>
            <w:r>
              <w:rPr>
                <w:rFonts w:ascii="Playfair Display" w:hAnsi="Playfair Display"/>
                <w:b/>
                <w:sz w:val="20"/>
                <w:szCs w:val="20"/>
              </w:rPr>
              <w:t xml:space="preserve">: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a felsőoktatási intézmény vagy az intézmény és a szakmai gyakorlóhely által</w:t>
            </w:r>
            <w:r>
              <w:rPr>
                <w:rFonts w:ascii="Playfair Display" w:hAnsi="Playfair Display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közösen</w:t>
            </w:r>
            <w:r>
              <w:rPr>
                <w:rFonts w:ascii="Playfair Display" w:hAnsi="Playfair Display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meghatározott képzési tevékenység, amelyet a képzési és kimeneti követelményekben meghatározottak szerint a felsőoktatási szakképzési programnak, illetve a szak tantervének megfelelően terveznek, szerveznek és</w:t>
            </w:r>
            <w:r>
              <w:rPr>
                <w:rFonts w:ascii="Playfair Display" w:hAnsi="Playfair Display"/>
                <w:sz w:val="20"/>
                <w:szCs w:val="20"/>
              </w:rPr>
              <w:t xml:space="preserve"> </w:t>
            </w:r>
            <w:r w:rsidRPr="0030004A">
              <w:rPr>
                <w:rFonts w:ascii="Playfair Display" w:hAnsi="Playfair Display"/>
                <w:sz w:val="20"/>
                <w:szCs w:val="20"/>
              </w:rPr>
              <w:t>értékelnek.</w:t>
            </w:r>
            <w:r>
              <w:rPr>
                <w:rFonts w:ascii="Playfair Display" w:hAnsi="Playfair Display"/>
                <w:sz w:val="20"/>
                <w:szCs w:val="20"/>
              </w:rPr>
              <w:t xml:space="preserve"> </w:t>
            </w:r>
          </w:p>
          <w:p w14:paraId="2D8D1DA7" w14:textId="77777777" w:rsidR="000921E7" w:rsidRPr="0030004A" w:rsidRDefault="000921E7" w:rsidP="000921E7">
            <w:pPr>
              <w:pStyle w:val="TableParagraph"/>
              <w:ind w:left="137" w:right="147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>A szakmai gyakorlat célja a szakképzettségnek megfelelő munkahelyen, munkakörben az elméleti és gyakorlati ismeretek összekapcsolása, a szakma gyakorlásához szükséges munkavállalói kompetenciák munkafolyamatokban történő fejlesztése, az anyag – eszköz – technológia ismeretek és gyakorlati jártasságok, valamint a munkafolyamatokban a személyi kapcsolatok és együttműködés, feladatmegoldásokban az értékelő és önértékelő magatartás, az innovációs készség fejlesztése.</w:t>
            </w:r>
          </w:p>
          <w:p w14:paraId="2D8D1DA8" w14:textId="77777777" w:rsidR="000921E7" w:rsidRPr="0030004A" w:rsidRDefault="000921E7" w:rsidP="000921E7">
            <w:pPr>
              <w:pStyle w:val="TableParagraph"/>
              <w:ind w:left="137" w:right="147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>Felsőoktatási szakképzésben legalább egy félév (legalább 14 hét, ötnapos munkahetekkel) szakmai gyakorlatot kell szakmai gyakorlóhelyen szervezni. A szakmai gyakorlat egybefüggő gyakorlat, amely több részben csak akkor szervezhető meg, ha arról a felsőoktatási szakképzés képzési és kimeneti követelményei - szakmai indokok alapján - úgy rendelkeznek.</w:t>
            </w:r>
          </w:p>
          <w:p w14:paraId="2D8D1DA9" w14:textId="77777777" w:rsidR="000921E7" w:rsidRPr="0030004A" w:rsidRDefault="000921E7" w:rsidP="000921E7">
            <w:pPr>
              <w:pStyle w:val="TableParagraph"/>
              <w:ind w:left="137" w:right="147"/>
              <w:jc w:val="both"/>
              <w:rPr>
                <w:rFonts w:ascii="Playfair Display" w:hAnsi="Playfair Display"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>Részidős vagy távoktatási képzésben szervezett képzés esetén a szakmai gyakorlat legalább 240 óra, amely időtartam alatt legalább három hét gyakorlatot egybefüggően kell megszervezni. A korábbi munkatapasztalat a felsőoktatási intézmény tanulmányi és vizsgaszabályzatában meghatározottak szerint tanulmányi követelmény teljesítéseként elismerhető.</w:t>
            </w:r>
          </w:p>
          <w:p w14:paraId="2D8D1DAA" w14:textId="77777777" w:rsidR="000921E7" w:rsidRPr="000921E7" w:rsidRDefault="000921E7" w:rsidP="000921E7">
            <w:pPr>
              <w:pStyle w:val="TableParagraph"/>
              <w:rPr>
                <w:rFonts w:ascii="Playfair Display" w:hAnsi="Playfair Display"/>
                <w:b/>
                <w:sz w:val="20"/>
                <w:szCs w:val="20"/>
              </w:rPr>
            </w:pPr>
            <w:r w:rsidRPr="0030004A">
              <w:rPr>
                <w:rFonts w:ascii="Playfair Display" w:hAnsi="Playfair Display"/>
                <w:sz w:val="20"/>
                <w:szCs w:val="20"/>
              </w:rPr>
              <w:t>A szakmai gyakorlat követelményeit a felsőoktatási szakképzés KKK-ja határozza meg</w:t>
            </w:r>
          </w:p>
        </w:tc>
      </w:tr>
    </w:tbl>
    <w:p w14:paraId="2D8D1DAC" w14:textId="77777777" w:rsidR="00D46B34" w:rsidRDefault="00D46B34">
      <w:pPr>
        <w:pStyle w:val="Szvegtrzs"/>
        <w:rPr>
          <w:b/>
        </w:rPr>
      </w:pPr>
    </w:p>
    <w:p w14:paraId="2D8D1DAD" w14:textId="77777777" w:rsidR="00D46B34" w:rsidRPr="006A1DD0" w:rsidRDefault="006A1DD0" w:rsidP="006A1DD0">
      <w:pPr>
        <w:pStyle w:val="Szvegtrzs"/>
        <w:jc w:val="center"/>
        <w:rPr>
          <w:rFonts w:ascii="Playfair Display" w:hAnsi="Playfair Display"/>
          <w:b/>
          <w:sz w:val="22"/>
        </w:rPr>
      </w:pPr>
      <w:r w:rsidRPr="006A1DD0">
        <w:rPr>
          <w:rFonts w:ascii="Playfair Display" w:hAnsi="Playfair Display"/>
          <w:b/>
          <w:sz w:val="22"/>
        </w:rPr>
        <w:lastRenderedPageBreak/>
        <w:t>A SZAKKÉPZÉS TARTALMA</w:t>
      </w:r>
    </w:p>
    <w:p w14:paraId="2D8D1DAE" w14:textId="77777777" w:rsidR="00D46B34" w:rsidRPr="006A1DD0" w:rsidRDefault="00E23C72" w:rsidP="006A1DD0">
      <w:pPr>
        <w:ind w:left="1752"/>
        <w:rPr>
          <w:rFonts w:ascii="Playfair Display" w:hAnsi="Playfair Display"/>
          <w:sz w:val="20"/>
        </w:rPr>
      </w:pPr>
      <w:r w:rsidRPr="006A1DD0">
        <w:rPr>
          <w:rFonts w:ascii="Playfair Display" w:hAnsi="Playfair Display"/>
          <w:sz w:val="20"/>
        </w:rPr>
        <w:t xml:space="preserve">(A jogszabályban </w:t>
      </w:r>
      <w:r w:rsidRPr="006A1DD0">
        <w:rPr>
          <w:rFonts w:ascii="Playfair Display" w:hAnsi="Playfair Display"/>
          <w:b/>
          <w:sz w:val="20"/>
        </w:rPr>
        <w:t>(230/2012. Korm. rend.</w:t>
      </w:r>
      <w:r w:rsidRPr="006A1DD0">
        <w:rPr>
          <w:rFonts w:ascii="Playfair Display" w:hAnsi="Playfair Display"/>
          <w:i/>
          <w:sz w:val="20"/>
        </w:rPr>
        <w:t xml:space="preserve">) </w:t>
      </w:r>
      <w:r w:rsidRPr="006A1DD0">
        <w:rPr>
          <w:rFonts w:ascii="Playfair Display" w:hAnsi="Playfair Display"/>
          <w:sz w:val="20"/>
        </w:rPr>
        <w:t>írtakat</w:t>
      </w:r>
      <w:r w:rsidRPr="006A1DD0">
        <w:rPr>
          <w:rFonts w:ascii="Playfair Display" w:hAnsi="Playfair Display"/>
          <w:sz w:val="20"/>
          <w:u w:val="single"/>
        </w:rPr>
        <w:t xml:space="preserve"> </w:t>
      </w:r>
      <w:r w:rsidRPr="006A1DD0">
        <w:rPr>
          <w:rFonts w:ascii="Playfair Display" w:hAnsi="Playfair Display"/>
          <w:b/>
          <w:sz w:val="20"/>
          <w:u w:val="single"/>
        </w:rPr>
        <w:t xml:space="preserve">aláhúzott </w:t>
      </w:r>
      <w:proofErr w:type="spellStart"/>
      <w:r w:rsidRPr="006A1DD0">
        <w:rPr>
          <w:rFonts w:ascii="Playfair Display" w:hAnsi="Playfair Display"/>
          <w:b/>
          <w:sz w:val="20"/>
          <w:u w:val="single"/>
        </w:rPr>
        <w:t>bold</w:t>
      </w:r>
      <w:proofErr w:type="spellEnd"/>
      <w:r w:rsidRPr="006A1DD0">
        <w:rPr>
          <w:rFonts w:ascii="Playfair Display" w:hAnsi="Playfair Display"/>
          <w:b/>
          <w:sz w:val="20"/>
        </w:rPr>
        <w:t xml:space="preserve"> </w:t>
      </w:r>
      <w:r w:rsidRPr="006A1DD0">
        <w:rPr>
          <w:rFonts w:ascii="Playfair Display" w:hAnsi="Playfair Display"/>
          <w:sz w:val="20"/>
        </w:rPr>
        <w:t>betűk jelölik)</w:t>
      </w:r>
    </w:p>
    <w:p w14:paraId="2D8D1DAF" w14:textId="77777777" w:rsidR="00D46B34" w:rsidRDefault="00D46B34">
      <w:pPr>
        <w:pStyle w:val="Szvegtrzs"/>
        <w:spacing w:before="5"/>
        <w:rPr>
          <w:sz w:val="13"/>
        </w:rPr>
      </w:pPr>
    </w:p>
    <w:p w14:paraId="2D8D1DB0" w14:textId="77777777" w:rsidR="00D46B34" w:rsidRPr="006A1DD0" w:rsidRDefault="00E23C72" w:rsidP="006A1DD0">
      <w:pPr>
        <w:pStyle w:val="Cmsor1"/>
        <w:spacing w:before="92" w:line="252" w:lineRule="exact"/>
        <w:ind w:left="0"/>
        <w:jc w:val="both"/>
        <w:rPr>
          <w:rFonts w:ascii="Playfair Display" w:hAnsi="Playfair Display"/>
          <w:sz w:val="20"/>
          <w:szCs w:val="20"/>
        </w:rPr>
      </w:pPr>
      <w:r w:rsidRPr="006A1DD0">
        <w:rPr>
          <w:rFonts w:ascii="Playfair Display" w:hAnsi="Playfair Display"/>
          <w:b w:val="0"/>
          <w:sz w:val="20"/>
          <w:szCs w:val="20"/>
          <w:u w:val="none"/>
        </w:rPr>
        <w:t xml:space="preserve">Elvárás </w:t>
      </w:r>
      <w:r w:rsidRPr="006A1DD0">
        <w:rPr>
          <w:rFonts w:ascii="Playfair Display" w:hAnsi="Playfair Display"/>
          <w:sz w:val="20"/>
          <w:szCs w:val="20"/>
        </w:rPr>
        <w:t xml:space="preserve">az intézmény által kidolgozott szakképzési program összhangja a vonatkozó képzési </w:t>
      </w:r>
      <w:proofErr w:type="gramStart"/>
      <w:r w:rsidRPr="006A1DD0">
        <w:rPr>
          <w:rFonts w:ascii="Playfair Display" w:hAnsi="Playfair Display"/>
          <w:sz w:val="20"/>
          <w:szCs w:val="20"/>
        </w:rPr>
        <w:t>és</w:t>
      </w:r>
      <w:r w:rsidR="006A1DD0" w:rsidRPr="006A1DD0">
        <w:rPr>
          <w:rFonts w:ascii="Playfair Display" w:hAnsi="Playfair Display"/>
          <w:sz w:val="20"/>
          <w:szCs w:val="20"/>
        </w:rPr>
        <w:t xml:space="preserve"> </w:t>
      </w:r>
      <w:r w:rsidRPr="006A1DD0">
        <w:rPr>
          <w:rFonts w:ascii="Playfair Display" w:hAnsi="Playfair Display"/>
          <w:spacing w:val="-56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kimeneti</w:t>
      </w:r>
      <w:proofErr w:type="gramEnd"/>
      <w:r w:rsidRPr="006A1DD0">
        <w:rPr>
          <w:rFonts w:ascii="Playfair Display" w:hAnsi="Playfair Display"/>
          <w:sz w:val="20"/>
          <w:szCs w:val="20"/>
        </w:rPr>
        <w:t xml:space="preserve"> követelményekkel (KKK):</w:t>
      </w:r>
    </w:p>
    <w:p w14:paraId="2D8D1DB1" w14:textId="77777777" w:rsidR="00D46B34" w:rsidRPr="006A1DD0" w:rsidRDefault="00E23C72" w:rsidP="00F1661A">
      <w:pPr>
        <w:pStyle w:val="Cmsor2"/>
        <w:numPr>
          <w:ilvl w:val="0"/>
          <w:numId w:val="2"/>
        </w:numPr>
        <w:tabs>
          <w:tab w:val="left" w:pos="426"/>
        </w:tabs>
        <w:spacing w:before="120"/>
        <w:ind w:left="426" w:hanging="357"/>
        <w:rPr>
          <w:rFonts w:ascii="Playfair Display" w:hAnsi="Playfair Display"/>
          <w:b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>Az intézmény által kidolgozott szakképzési program moduláris</w:t>
      </w:r>
      <w:r w:rsidRPr="006A1DD0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6A1DD0">
        <w:rPr>
          <w:rFonts w:ascii="Playfair Display" w:hAnsi="Playfair Display"/>
          <w:b/>
          <w:sz w:val="20"/>
          <w:szCs w:val="20"/>
        </w:rPr>
        <w:t>tantervében</w:t>
      </w:r>
    </w:p>
    <w:p w14:paraId="2D8D1DB2" w14:textId="77777777" w:rsidR="00D46B34" w:rsidRPr="006A1DD0" w:rsidRDefault="00E23C72" w:rsidP="006A1DD0">
      <w:pPr>
        <w:pStyle w:val="Listaszerbekezds"/>
        <w:numPr>
          <w:ilvl w:val="1"/>
          <w:numId w:val="2"/>
        </w:numPr>
        <w:tabs>
          <w:tab w:val="left" w:pos="1060"/>
          <w:tab w:val="left" w:pos="1061"/>
        </w:tabs>
        <w:spacing w:before="120" w:after="120"/>
        <w:ind w:left="993" w:hanging="284"/>
        <w:rPr>
          <w:rFonts w:ascii="Playfair Display" w:hAnsi="Playfair Display"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 xml:space="preserve">a főbb modulok az </w:t>
      </w:r>
      <w:r w:rsidRPr="006A1DD0">
        <w:rPr>
          <w:rFonts w:ascii="Playfair Display" w:hAnsi="Playfair Display"/>
          <w:b/>
          <w:sz w:val="20"/>
          <w:szCs w:val="20"/>
        </w:rPr>
        <w:t>előírt kredit-tartományokban</w:t>
      </w:r>
      <w:r w:rsidRPr="006A1DD0">
        <w:rPr>
          <w:rFonts w:ascii="Playfair Display" w:hAnsi="Playfair Display"/>
          <w:b/>
          <w:spacing w:val="-7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legyenek</w:t>
      </w:r>
    </w:p>
    <w:p w14:paraId="2D8D1DB3" w14:textId="77777777" w:rsidR="00D46B34" w:rsidRPr="006A1DD0" w:rsidRDefault="00E23C72" w:rsidP="006A1DD0">
      <w:pPr>
        <w:pStyle w:val="Listaszerbekezds"/>
        <w:numPr>
          <w:ilvl w:val="1"/>
          <w:numId w:val="2"/>
        </w:numPr>
        <w:tabs>
          <w:tab w:val="left" w:pos="1060"/>
          <w:tab w:val="left" w:pos="1061"/>
        </w:tabs>
        <w:spacing w:before="0" w:after="120"/>
        <w:ind w:left="993" w:hanging="284"/>
        <w:rPr>
          <w:rFonts w:ascii="Playfair Display" w:hAnsi="Playfair Display"/>
          <w:b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 xml:space="preserve">a szak jelzett </w:t>
      </w:r>
      <w:r w:rsidRPr="006A1DD0">
        <w:rPr>
          <w:rFonts w:ascii="Playfair Display" w:hAnsi="Playfair Display"/>
          <w:b/>
          <w:sz w:val="20"/>
          <w:szCs w:val="20"/>
        </w:rPr>
        <w:t>orientációjával</w:t>
      </w:r>
      <w:r w:rsidR="006A1DD0">
        <w:rPr>
          <w:rStyle w:val="Lbjegyzet-hivatkozs"/>
          <w:rFonts w:ascii="Playfair Display" w:hAnsi="Playfair Display"/>
          <w:b/>
          <w:sz w:val="20"/>
          <w:szCs w:val="20"/>
        </w:rPr>
        <w:footnoteReference w:id="5"/>
      </w:r>
      <w:r w:rsidRPr="006A1DD0">
        <w:rPr>
          <w:rFonts w:ascii="Playfair Display" w:hAnsi="Playfair Display"/>
          <w:b/>
          <w:position w:val="8"/>
          <w:sz w:val="20"/>
          <w:szCs w:val="20"/>
        </w:rPr>
        <w:t xml:space="preserve"> </w:t>
      </w:r>
      <w:r w:rsidRPr="006A1DD0">
        <w:rPr>
          <w:rFonts w:ascii="Playfair Display" w:hAnsi="Playfair Display"/>
          <w:b/>
          <w:sz w:val="20"/>
          <w:szCs w:val="20"/>
        </w:rPr>
        <w:t xml:space="preserve">összhangban </w:t>
      </w:r>
      <w:r w:rsidRPr="006A1DD0">
        <w:rPr>
          <w:rFonts w:ascii="Playfair Display" w:hAnsi="Playfair Display"/>
          <w:sz w:val="20"/>
          <w:szCs w:val="20"/>
        </w:rPr>
        <w:t xml:space="preserve">lévő mértékű legyen a </w:t>
      </w:r>
      <w:r w:rsidRPr="006A1DD0">
        <w:rPr>
          <w:rFonts w:ascii="Playfair Display" w:hAnsi="Playfair Display"/>
          <w:b/>
          <w:sz w:val="20"/>
          <w:szCs w:val="20"/>
        </w:rPr>
        <w:t>gyakorlati</w:t>
      </w:r>
      <w:r w:rsidRPr="006A1DD0">
        <w:rPr>
          <w:rFonts w:ascii="Playfair Display" w:hAnsi="Playfair Display"/>
          <w:b/>
          <w:spacing w:val="-22"/>
          <w:sz w:val="20"/>
          <w:szCs w:val="20"/>
        </w:rPr>
        <w:t xml:space="preserve"> </w:t>
      </w:r>
      <w:r w:rsidRPr="006A1DD0">
        <w:rPr>
          <w:rFonts w:ascii="Playfair Display" w:hAnsi="Playfair Display"/>
          <w:b/>
          <w:sz w:val="20"/>
          <w:szCs w:val="20"/>
        </w:rPr>
        <w:t>képzés</w:t>
      </w:r>
    </w:p>
    <w:p w14:paraId="2D8D1DB4" w14:textId="77777777" w:rsidR="00D46B34" w:rsidRPr="006A1DD0" w:rsidRDefault="00E23C72" w:rsidP="006A1DD0">
      <w:pPr>
        <w:pStyle w:val="Listaszerbekezds"/>
        <w:numPr>
          <w:ilvl w:val="1"/>
          <w:numId w:val="2"/>
        </w:numPr>
        <w:tabs>
          <w:tab w:val="left" w:pos="1061"/>
        </w:tabs>
        <w:spacing w:before="0" w:after="120"/>
        <w:ind w:left="993" w:right="94" w:hanging="284"/>
        <w:jc w:val="both"/>
        <w:rPr>
          <w:rFonts w:ascii="Playfair Display" w:hAnsi="Playfair Display"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 xml:space="preserve">a képzési terület szerinti továbbtanulás esetén </w:t>
      </w:r>
      <w:r w:rsidRPr="006A1DD0">
        <w:rPr>
          <w:rFonts w:ascii="Playfair Display" w:hAnsi="Playfair Display"/>
          <w:b/>
          <w:sz w:val="20"/>
          <w:szCs w:val="20"/>
        </w:rPr>
        <w:t xml:space="preserve">beszámítandó kreditek </w:t>
      </w:r>
      <w:r w:rsidRPr="006A1DD0">
        <w:rPr>
          <w:rFonts w:ascii="Playfair Display" w:hAnsi="Playfair Display"/>
          <w:sz w:val="20"/>
          <w:szCs w:val="20"/>
        </w:rPr>
        <w:t xml:space="preserve">száma az előírt (minimum </w:t>
      </w:r>
      <w:r w:rsidRPr="006A1DD0">
        <w:rPr>
          <w:rFonts w:ascii="Playfair Display" w:hAnsi="Playfair Display"/>
          <w:b/>
          <w:sz w:val="20"/>
          <w:szCs w:val="20"/>
        </w:rPr>
        <w:t xml:space="preserve">30 </w:t>
      </w:r>
      <w:r w:rsidRPr="006A1DD0">
        <w:rPr>
          <w:rFonts w:ascii="Playfair Display" w:hAnsi="Playfair Display"/>
          <w:sz w:val="20"/>
          <w:szCs w:val="20"/>
        </w:rPr>
        <w:t>kredit) legyen, a beszámíthatónak jelzett ismeretek illeszkedők legyenek az adott alap vagy osztatlan szakba, a tantárgyi programjuk alapján a beszámításuk a kreditátviteli előírásoknak</w:t>
      </w:r>
      <w:r w:rsidR="006A1DD0">
        <w:rPr>
          <w:rStyle w:val="Lbjegyzet-hivatkozs"/>
          <w:rFonts w:ascii="Playfair Display" w:hAnsi="Playfair Display"/>
          <w:sz w:val="20"/>
          <w:szCs w:val="20"/>
        </w:rPr>
        <w:footnoteReference w:id="6"/>
      </w:r>
      <w:r w:rsidRPr="006A1DD0">
        <w:rPr>
          <w:rFonts w:ascii="Playfair Display" w:hAnsi="Playfair Display"/>
          <w:sz w:val="20"/>
          <w:szCs w:val="20"/>
        </w:rPr>
        <w:t xml:space="preserve"> feleljenek</w:t>
      </w:r>
      <w:r w:rsidRPr="006A1DD0">
        <w:rPr>
          <w:rFonts w:ascii="Playfair Display" w:hAnsi="Playfair Display"/>
          <w:spacing w:val="-4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meg.</w:t>
      </w:r>
    </w:p>
    <w:p w14:paraId="2D8D1DB5" w14:textId="77777777" w:rsidR="00D46B34" w:rsidRPr="00F1661A" w:rsidRDefault="00E23C72" w:rsidP="00F1661A">
      <w:pPr>
        <w:pStyle w:val="Listaszerbekezds"/>
        <w:numPr>
          <w:ilvl w:val="0"/>
          <w:numId w:val="2"/>
        </w:numPr>
        <w:tabs>
          <w:tab w:val="left" w:pos="426"/>
        </w:tabs>
        <w:spacing w:before="123"/>
        <w:ind w:left="426" w:hanging="357"/>
        <w:rPr>
          <w:rFonts w:ascii="Playfair Display" w:hAnsi="Playfair Display"/>
          <w:b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 xml:space="preserve">A modulok </w:t>
      </w:r>
      <w:r w:rsidRPr="006A1DD0">
        <w:rPr>
          <w:rFonts w:ascii="Playfair Display" w:hAnsi="Playfair Display"/>
          <w:b/>
          <w:sz w:val="20"/>
          <w:szCs w:val="20"/>
        </w:rPr>
        <w:t xml:space="preserve">tantárgyi programjai </w:t>
      </w:r>
      <w:r w:rsidRPr="006A1DD0">
        <w:rPr>
          <w:rFonts w:ascii="Playfair Display" w:hAnsi="Playfair Display"/>
          <w:sz w:val="20"/>
          <w:szCs w:val="20"/>
        </w:rPr>
        <w:t>(a tantárgyleírások és a megadott szakirodalmak alapján)</w:t>
      </w:r>
      <w:r w:rsidRPr="00F1661A">
        <w:rPr>
          <w:rFonts w:ascii="Playfair Display" w:hAnsi="Playfair Display"/>
          <w:spacing w:val="18"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az előírt</w:t>
      </w:r>
      <w:r w:rsidR="00F1661A" w:rsidRPr="00F1661A">
        <w:rPr>
          <w:rFonts w:ascii="Playfair Display" w:hAnsi="Playfair Display"/>
          <w:b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sz w:val="20"/>
          <w:szCs w:val="20"/>
        </w:rPr>
        <w:t xml:space="preserve">képzési célnak és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kompetenciaelemeknek megfelelően</w:t>
      </w:r>
      <w:r w:rsidRPr="00F1661A">
        <w:rPr>
          <w:rFonts w:ascii="Playfair Display" w:hAnsi="Playfair Display"/>
          <w:b/>
          <w:sz w:val="20"/>
          <w:szCs w:val="20"/>
        </w:rPr>
        <w:t xml:space="preserve"> </w:t>
      </w:r>
      <w:r w:rsidRPr="00F1661A">
        <w:rPr>
          <w:rFonts w:ascii="Playfair Display" w:hAnsi="Playfair Display"/>
          <w:sz w:val="20"/>
          <w:szCs w:val="20"/>
        </w:rPr>
        <w:t xml:space="preserve">biztosítsák a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szakképzettség szakmai</w:t>
      </w:r>
      <w:r w:rsidR="00F1661A" w:rsidRPr="00F1661A">
        <w:rPr>
          <w:rFonts w:ascii="Playfair Display" w:hAnsi="Playfair Display"/>
          <w:b/>
          <w:sz w:val="20"/>
          <w:szCs w:val="20"/>
          <w:u w:val="thick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kompetenciáinak</w:t>
      </w:r>
      <w:r w:rsidRPr="00F1661A">
        <w:rPr>
          <w:rFonts w:ascii="Playfair Display" w:hAnsi="Playfair Display"/>
          <w:b/>
          <w:sz w:val="20"/>
          <w:szCs w:val="20"/>
        </w:rPr>
        <w:t xml:space="preserve"> </w:t>
      </w:r>
      <w:r w:rsidRPr="00F1661A">
        <w:rPr>
          <w:rFonts w:ascii="Playfair Display" w:hAnsi="Playfair Display"/>
          <w:sz w:val="20"/>
          <w:szCs w:val="20"/>
        </w:rPr>
        <w:t>(tudás, képesség) a hallgatók általi</w:t>
      </w:r>
      <w:r w:rsidRPr="00F1661A">
        <w:rPr>
          <w:rFonts w:ascii="Playfair Display" w:hAnsi="Playfair Display"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elérését</w:t>
      </w:r>
      <w:r w:rsidRPr="00F1661A">
        <w:rPr>
          <w:rFonts w:ascii="Playfair Display" w:hAnsi="Playfair Display"/>
          <w:b/>
          <w:sz w:val="20"/>
          <w:szCs w:val="20"/>
        </w:rPr>
        <w:t xml:space="preserve"> </w:t>
      </w:r>
      <w:r w:rsidRPr="00F1661A">
        <w:rPr>
          <w:rFonts w:ascii="Playfair Display" w:hAnsi="Playfair Display"/>
          <w:sz w:val="20"/>
          <w:szCs w:val="20"/>
        </w:rPr>
        <w:t>az adott képzési időn belül megvalósíthatóan.</w:t>
      </w:r>
    </w:p>
    <w:p w14:paraId="2D8D1DB6" w14:textId="77777777" w:rsidR="00D46B34" w:rsidRPr="00F1661A" w:rsidRDefault="00E23C72" w:rsidP="00F1661A">
      <w:pPr>
        <w:pStyle w:val="Listaszerbekezds"/>
        <w:numPr>
          <w:ilvl w:val="0"/>
          <w:numId w:val="2"/>
        </w:numPr>
        <w:tabs>
          <w:tab w:val="left" w:pos="426"/>
        </w:tabs>
        <w:spacing w:before="121"/>
        <w:ind w:left="426" w:hanging="360"/>
        <w:rPr>
          <w:rFonts w:ascii="Playfair Display" w:hAnsi="Playfair Display"/>
          <w:b/>
          <w:sz w:val="20"/>
          <w:szCs w:val="20"/>
          <w:u w:val="single"/>
        </w:rPr>
      </w:pPr>
      <w:r w:rsidRPr="006A1DD0">
        <w:rPr>
          <w:rFonts w:ascii="Playfair Display" w:hAnsi="Playfair Display"/>
          <w:sz w:val="20"/>
          <w:szCs w:val="20"/>
        </w:rPr>
        <w:t>A</w:t>
      </w:r>
      <w:r w:rsidRPr="006A1DD0">
        <w:rPr>
          <w:rFonts w:ascii="Playfair Display" w:hAnsi="Playfair Display"/>
          <w:spacing w:val="24"/>
          <w:sz w:val="20"/>
          <w:szCs w:val="20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szakmai</w:t>
      </w:r>
      <w:r w:rsidRPr="00F1661A">
        <w:rPr>
          <w:rFonts w:ascii="Playfair Display" w:hAnsi="Playfair Display"/>
          <w:b/>
          <w:spacing w:val="26"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gyakorlat</w:t>
      </w:r>
      <w:r w:rsidRPr="006A1DD0">
        <w:rPr>
          <w:rFonts w:ascii="Playfair Display" w:hAnsi="Playfair Display"/>
          <w:b/>
          <w:spacing w:val="25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szervezése</w:t>
      </w:r>
      <w:r w:rsidRPr="006A1DD0">
        <w:rPr>
          <w:rFonts w:ascii="Playfair Display" w:hAnsi="Playfair Display"/>
          <w:spacing w:val="27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az</w:t>
      </w:r>
      <w:r w:rsidRPr="006A1DD0">
        <w:rPr>
          <w:rFonts w:ascii="Playfair Display" w:hAnsi="Playfair Display"/>
          <w:spacing w:val="23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előírtak</w:t>
      </w:r>
      <w:r w:rsidRPr="00F1661A">
        <w:rPr>
          <w:rFonts w:ascii="Playfair Display" w:hAnsi="Playfair Display"/>
          <w:position w:val="8"/>
          <w:sz w:val="18"/>
          <w:szCs w:val="20"/>
        </w:rPr>
        <w:t>4</w:t>
      </w:r>
      <w:r w:rsidRPr="006A1DD0">
        <w:rPr>
          <w:rFonts w:ascii="Playfair Display" w:hAnsi="Playfair Display"/>
          <w:spacing w:val="20"/>
          <w:position w:val="8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szerint</w:t>
      </w:r>
      <w:r w:rsidRPr="006A1DD0">
        <w:rPr>
          <w:rFonts w:ascii="Playfair Display" w:hAnsi="Playfair Display"/>
          <w:spacing w:val="24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történjen,</w:t>
      </w:r>
      <w:r w:rsidRPr="00F1661A">
        <w:rPr>
          <w:rFonts w:ascii="Playfair Display" w:hAnsi="Playfair Display"/>
          <w:spacing w:val="24"/>
          <w:sz w:val="20"/>
          <w:szCs w:val="20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szakmai</w:t>
      </w:r>
      <w:r w:rsidRPr="00F1661A">
        <w:rPr>
          <w:rFonts w:ascii="Playfair Display" w:hAnsi="Playfair Display"/>
          <w:b/>
          <w:spacing w:val="24"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követelményei</w:t>
      </w:r>
      <w:r w:rsidRPr="00F1661A">
        <w:rPr>
          <w:rFonts w:ascii="Playfair Display" w:hAnsi="Playfair Display"/>
          <w:b/>
          <w:spacing w:val="23"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feleljenek</w:t>
      </w:r>
      <w:r w:rsidR="00F1661A" w:rsidRPr="00F1661A">
        <w:rPr>
          <w:rFonts w:ascii="Playfair Display" w:hAnsi="Playfair Display"/>
          <w:b/>
          <w:sz w:val="20"/>
          <w:szCs w:val="20"/>
          <w:u w:val="single"/>
        </w:rPr>
        <w:t xml:space="preserve"> </w:t>
      </w:r>
      <w:r w:rsidRPr="00F1661A">
        <w:rPr>
          <w:rFonts w:ascii="Playfair Display" w:hAnsi="Playfair Display"/>
          <w:b/>
          <w:sz w:val="20"/>
          <w:szCs w:val="20"/>
          <w:u w:val="single"/>
        </w:rPr>
        <w:t>meg a szakképzés feladatprofiljának.</w:t>
      </w:r>
    </w:p>
    <w:p w14:paraId="2D8D1DB7" w14:textId="77777777" w:rsidR="00D46B34" w:rsidRPr="006A1DD0" w:rsidRDefault="00E23C72" w:rsidP="00F1661A">
      <w:pPr>
        <w:pStyle w:val="Cmsor2"/>
        <w:numPr>
          <w:ilvl w:val="0"/>
          <w:numId w:val="2"/>
        </w:numPr>
        <w:tabs>
          <w:tab w:val="left" w:pos="426"/>
        </w:tabs>
        <w:spacing w:before="119"/>
        <w:ind w:left="426" w:right="308" w:hanging="357"/>
        <w:jc w:val="both"/>
        <w:rPr>
          <w:rFonts w:ascii="Playfair Display" w:hAnsi="Playfair Display"/>
          <w:sz w:val="20"/>
          <w:szCs w:val="20"/>
        </w:rPr>
      </w:pPr>
      <w:r w:rsidRPr="006A1DD0">
        <w:rPr>
          <w:rFonts w:ascii="Playfair Display" w:hAnsi="Playfair Display"/>
          <w:sz w:val="20"/>
          <w:szCs w:val="20"/>
        </w:rPr>
        <w:t xml:space="preserve">A </w:t>
      </w:r>
      <w:r w:rsidRPr="006A1DD0">
        <w:rPr>
          <w:rFonts w:ascii="Playfair Display" w:hAnsi="Playfair Display"/>
          <w:b/>
          <w:sz w:val="20"/>
          <w:szCs w:val="20"/>
        </w:rPr>
        <w:t xml:space="preserve">számonkérési módszerek, </w:t>
      </w:r>
      <w:r w:rsidRPr="006A1DD0">
        <w:rPr>
          <w:rFonts w:ascii="Playfair Display" w:hAnsi="Playfair Display"/>
          <w:sz w:val="20"/>
          <w:szCs w:val="20"/>
        </w:rPr>
        <w:t xml:space="preserve">a </w:t>
      </w:r>
      <w:r w:rsidRPr="006A1DD0">
        <w:rPr>
          <w:rFonts w:ascii="Playfair Display" w:hAnsi="Playfair Display"/>
          <w:b/>
          <w:sz w:val="20"/>
          <w:szCs w:val="20"/>
        </w:rPr>
        <w:t xml:space="preserve">záróvizsga </w:t>
      </w:r>
      <w:r w:rsidRPr="006A1DD0">
        <w:rPr>
          <w:rFonts w:ascii="Playfair Display" w:hAnsi="Playfair Display"/>
          <w:sz w:val="20"/>
          <w:szCs w:val="20"/>
        </w:rPr>
        <w:t>legyenek alkalmasak a valós hallgatói tudás és teljesítmény mérésére, a megkívánt kompetenciák megszerzésének ellenőrzésére, az elsajátítás mértékének</w:t>
      </w:r>
      <w:r w:rsidRPr="006A1DD0">
        <w:rPr>
          <w:rFonts w:ascii="Playfair Display" w:hAnsi="Playfair Display"/>
          <w:spacing w:val="-2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megítélésére.</w:t>
      </w:r>
    </w:p>
    <w:p w14:paraId="2D8D1DB8" w14:textId="77777777" w:rsidR="00D46B34" w:rsidRPr="006A1DD0" w:rsidRDefault="00E23C72" w:rsidP="00F1661A">
      <w:pPr>
        <w:pStyle w:val="Listaszerbekezds"/>
        <w:numPr>
          <w:ilvl w:val="0"/>
          <w:numId w:val="2"/>
        </w:numPr>
        <w:tabs>
          <w:tab w:val="left" w:pos="426"/>
        </w:tabs>
        <w:spacing w:before="122"/>
        <w:ind w:left="426" w:right="306" w:hanging="357"/>
        <w:rPr>
          <w:rFonts w:ascii="Playfair Display" w:hAnsi="Playfair Display"/>
          <w:sz w:val="20"/>
          <w:szCs w:val="20"/>
        </w:rPr>
      </w:pPr>
      <w:r w:rsidRPr="00F1661A">
        <w:rPr>
          <w:rFonts w:ascii="Playfair Display" w:hAnsi="Playfair Display"/>
          <w:sz w:val="20"/>
          <w:szCs w:val="20"/>
        </w:rPr>
        <w:t>Amennyiben az adott KKK azt előírja</w:t>
      </w:r>
      <w:r w:rsidRPr="006A1DD0">
        <w:rPr>
          <w:rFonts w:ascii="Playfair Display" w:hAnsi="Playfair Display"/>
          <w:i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 xml:space="preserve">– a felsőoktatási szakképzésre történő </w:t>
      </w:r>
      <w:r w:rsidRPr="006A1DD0">
        <w:rPr>
          <w:rFonts w:ascii="Playfair Display" w:hAnsi="Playfair Display"/>
          <w:b/>
          <w:sz w:val="20"/>
          <w:szCs w:val="20"/>
        </w:rPr>
        <w:t xml:space="preserve">felvétel speciális feltételei </w:t>
      </w:r>
      <w:r w:rsidRPr="006A1DD0">
        <w:rPr>
          <w:rFonts w:ascii="Playfair Display" w:hAnsi="Playfair Display"/>
          <w:sz w:val="20"/>
          <w:szCs w:val="20"/>
        </w:rPr>
        <w:t>feleljenek meg az</w:t>
      </w:r>
      <w:r w:rsidRPr="006A1DD0">
        <w:rPr>
          <w:rFonts w:ascii="Playfair Display" w:hAnsi="Playfair Display"/>
          <w:spacing w:val="-7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előírtaknak.</w:t>
      </w:r>
    </w:p>
    <w:p w14:paraId="2D8D1DB9" w14:textId="32E133BD" w:rsidR="00D46B34" w:rsidRPr="006A1DD0" w:rsidRDefault="00E23C72" w:rsidP="00F1661A">
      <w:pPr>
        <w:pStyle w:val="Listaszerbekezds"/>
        <w:numPr>
          <w:ilvl w:val="0"/>
          <w:numId w:val="2"/>
        </w:numPr>
        <w:tabs>
          <w:tab w:val="left" w:pos="426"/>
        </w:tabs>
        <w:spacing w:before="181"/>
        <w:ind w:left="426" w:right="304" w:hanging="357"/>
        <w:rPr>
          <w:rFonts w:ascii="Playfair Display" w:hAnsi="Playfair Display"/>
          <w:sz w:val="20"/>
          <w:szCs w:val="20"/>
        </w:rPr>
      </w:pPr>
      <w:r w:rsidRPr="00F1661A">
        <w:rPr>
          <w:rFonts w:ascii="Playfair Display" w:hAnsi="Playfair Display"/>
          <w:sz w:val="20"/>
          <w:szCs w:val="20"/>
        </w:rPr>
        <w:t>Amennyiben az adott KKK azt előírja</w:t>
      </w:r>
      <w:r w:rsidRPr="006A1DD0">
        <w:rPr>
          <w:rFonts w:ascii="Playfair Display" w:hAnsi="Playfair Display"/>
          <w:i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 xml:space="preserve">– </w:t>
      </w:r>
      <w:r w:rsidRPr="006A1DD0">
        <w:rPr>
          <w:rFonts w:ascii="Playfair Display" w:hAnsi="Playfair Display"/>
          <w:b/>
          <w:sz w:val="20"/>
          <w:szCs w:val="20"/>
        </w:rPr>
        <w:t xml:space="preserve">az idegen nyelvi és szaknyelvi követelmények </w:t>
      </w:r>
      <w:r w:rsidRPr="006A1DD0">
        <w:rPr>
          <w:rFonts w:ascii="Playfair Display" w:hAnsi="Playfair Display"/>
          <w:sz w:val="20"/>
          <w:szCs w:val="20"/>
        </w:rPr>
        <w:t>feleljenek meg az</w:t>
      </w:r>
      <w:r w:rsidR="00F1661A">
        <w:rPr>
          <w:rFonts w:ascii="Playfair Display" w:hAnsi="Playfair Display"/>
          <w:spacing w:val="-6"/>
          <w:sz w:val="20"/>
          <w:szCs w:val="20"/>
        </w:rPr>
        <w:t xml:space="preserve"> </w:t>
      </w:r>
      <w:r w:rsidRPr="006A1DD0">
        <w:rPr>
          <w:rFonts w:ascii="Playfair Display" w:hAnsi="Playfair Display"/>
          <w:sz w:val="20"/>
          <w:szCs w:val="20"/>
        </w:rPr>
        <w:t>előírtaknak.</w:t>
      </w:r>
    </w:p>
    <w:p w14:paraId="2D8D1DBA" w14:textId="77777777" w:rsidR="00D46B34" w:rsidRPr="006A1DD0" w:rsidRDefault="00D46B34">
      <w:pPr>
        <w:pStyle w:val="Szvegtrzs"/>
        <w:rPr>
          <w:rFonts w:ascii="Playfair Display" w:hAnsi="Playfair Display"/>
        </w:rPr>
      </w:pPr>
    </w:p>
    <w:p w14:paraId="2D8D1DBB" w14:textId="77777777" w:rsidR="00D46B34" w:rsidRDefault="00D46B34">
      <w:pPr>
        <w:pStyle w:val="Szvegtrzs"/>
      </w:pPr>
    </w:p>
    <w:p w14:paraId="2D8D1DBC" w14:textId="77777777" w:rsidR="00D46B34" w:rsidRDefault="00D46B34">
      <w:pPr>
        <w:pStyle w:val="Szvegtrzs"/>
      </w:pPr>
    </w:p>
    <w:p w14:paraId="2D8D1DBD" w14:textId="77777777" w:rsidR="00D46B34" w:rsidRDefault="00D46B34">
      <w:pPr>
        <w:pStyle w:val="Szvegtrzs"/>
      </w:pPr>
    </w:p>
    <w:p w14:paraId="2D8D1DBE" w14:textId="77777777" w:rsidR="00D46B34" w:rsidRDefault="00D46B34">
      <w:pPr>
        <w:pStyle w:val="Szvegtrzs"/>
      </w:pPr>
    </w:p>
    <w:p w14:paraId="2D8D1DBF" w14:textId="77777777" w:rsidR="00D46B34" w:rsidRDefault="00D46B34">
      <w:pPr>
        <w:pStyle w:val="Szvegtrzs"/>
      </w:pPr>
    </w:p>
    <w:p w14:paraId="2D8D1DC0" w14:textId="77777777" w:rsidR="00D46B34" w:rsidRDefault="00D46B34">
      <w:pPr>
        <w:pStyle w:val="Szvegtrzs"/>
      </w:pPr>
    </w:p>
    <w:p w14:paraId="2D8D1DC1" w14:textId="77777777" w:rsidR="00D46B34" w:rsidRDefault="00D46B34" w:rsidP="00F1661A">
      <w:pPr>
        <w:pStyle w:val="Szvegtrzs"/>
        <w:spacing w:before="3"/>
        <w:rPr>
          <w:sz w:val="13"/>
        </w:rPr>
      </w:pPr>
    </w:p>
    <w:sectPr w:rsidR="00D46B34" w:rsidSect="00C111E3">
      <w:headerReference w:type="default" r:id="rId11"/>
      <w:footerReference w:type="default" r:id="rId12"/>
      <w:headerReference w:type="first" r:id="rId13"/>
      <w:pgSz w:w="11910" w:h="16840"/>
      <w:pgMar w:top="1675" w:right="853" w:bottom="800" w:left="1040" w:header="284" w:footer="61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D1DC4" w14:textId="77777777" w:rsidR="00093F7E" w:rsidRDefault="00093F7E">
      <w:r>
        <w:separator/>
      </w:r>
    </w:p>
  </w:endnote>
  <w:endnote w:type="continuationSeparator" w:id="0">
    <w:p w14:paraId="2D8D1DC5" w14:textId="77777777" w:rsidR="00093F7E" w:rsidRDefault="0009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ayfair Display">
    <w:panose1 w:val="00000500000000000000"/>
    <w:charset w:val="EE"/>
    <w:family w:val="auto"/>
    <w:pitch w:val="variable"/>
    <w:sig w:usb0="20000207" w:usb1="00000000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0413408"/>
      <w:docPartObj>
        <w:docPartGallery w:val="Page Numbers (Bottom of Page)"/>
        <w:docPartUnique/>
      </w:docPartObj>
    </w:sdtPr>
    <w:sdtEndPr>
      <w:rPr>
        <w:rFonts w:ascii="Playfair Display" w:hAnsi="Playfair Display"/>
        <w:sz w:val="18"/>
      </w:rPr>
    </w:sdtEndPr>
    <w:sdtContent>
      <w:p w14:paraId="2D8D1DC9" w14:textId="77777777" w:rsidR="00F1661A" w:rsidRPr="00F1661A" w:rsidRDefault="00F1661A">
        <w:pPr>
          <w:pStyle w:val="llb"/>
          <w:jc w:val="center"/>
          <w:rPr>
            <w:rFonts w:ascii="Playfair Display" w:hAnsi="Playfair Display"/>
            <w:sz w:val="18"/>
          </w:rPr>
        </w:pPr>
        <w:r w:rsidRPr="00F1661A">
          <w:rPr>
            <w:rFonts w:ascii="Playfair Display" w:hAnsi="Playfair Display"/>
            <w:sz w:val="18"/>
          </w:rPr>
          <w:fldChar w:fldCharType="begin"/>
        </w:r>
        <w:r w:rsidRPr="00F1661A">
          <w:rPr>
            <w:rFonts w:ascii="Playfair Display" w:hAnsi="Playfair Display"/>
            <w:sz w:val="18"/>
          </w:rPr>
          <w:instrText>PAGE   \* MERGEFORMAT</w:instrText>
        </w:r>
        <w:r w:rsidRPr="00F1661A">
          <w:rPr>
            <w:rFonts w:ascii="Playfair Display" w:hAnsi="Playfair Display"/>
            <w:sz w:val="18"/>
          </w:rPr>
          <w:fldChar w:fldCharType="separate"/>
        </w:r>
        <w:r w:rsidR="00C111E3">
          <w:rPr>
            <w:rFonts w:ascii="Playfair Display" w:hAnsi="Playfair Display"/>
            <w:noProof/>
            <w:sz w:val="18"/>
          </w:rPr>
          <w:t>2</w:t>
        </w:r>
        <w:r w:rsidRPr="00F1661A">
          <w:rPr>
            <w:rFonts w:ascii="Playfair Display" w:hAnsi="Playfair Display"/>
            <w:sz w:val="18"/>
          </w:rPr>
          <w:fldChar w:fldCharType="end"/>
        </w:r>
      </w:p>
    </w:sdtContent>
  </w:sdt>
  <w:p w14:paraId="2D8D1DCA" w14:textId="77777777" w:rsidR="00D46B34" w:rsidRDefault="00D46B34">
    <w:pPr>
      <w:pStyle w:val="Szvegtrzs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1DC2" w14:textId="77777777" w:rsidR="00093F7E" w:rsidRDefault="00093F7E">
      <w:r>
        <w:separator/>
      </w:r>
    </w:p>
  </w:footnote>
  <w:footnote w:type="continuationSeparator" w:id="0">
    <w:p w14:paraId="2D8D1DC3" w14:textId="77777777" w:rsidR="00093F7E" w:rsidRDefault="00093F7E">
      <w:r>
        <w:continuationSeparator/>
      </w:r>
    </w:p>
  </w:footnote>
  <w:footnote w:id="1">
    <w:p w14:paraId="2D8D1DD3" w14:textId="77777777" w:rsidR="0030004A" w:rsidRPr="00AB1EF3" w:rsidRDefault="0030004A" w:rsidP="0030004A">
      <w:pPr>
        <w:pStyle w:val="Lbjegyzetszveg"/>
        <w:jc w:val="both"/>
        <w:rPr>
          <w:rFonts w:ascii="Playfair Display" w:hAnsi="Playfair Display"/>
          <w:sz w:val="18"/>
        </w:rPr>
      </w:pPr>
      <w:r w:rsidRPr="00AB1EF3">
        <w:rPr>
          <w:rStyle w:val="Lbjegyzet-hivatkozs"/>
          <w:rFonts w:ascii="Playfair Display" w:hAnsi="Playfair Display"/>
          <w:sz w:val="16"/>
        </w:rPr>
        <w:footnoteRef/>
      </w:r>
      <w:r w:rsidRPr="00AB1EF3">
        <w:rPr>
          <w:rFonts w:ascii="Playfair Display" w:hAnsi="Playfair Display"/>
          <w:sz w:val="16"/>
        </w:rPr>
        <w:t xml:space="preserve"> </w:t>
      </w:r>
      <w:r w:rsidRPr="00AB1EF3">
        <w:rPr>
          <w:rFonts w:ascii="Playfair Display" w:hAnsi="Playfair Display"/>
          <w:b/>
          <w:sz w:val="16"/>
        </w:rPr>
        <w:t>230/2012. Korm. rend. 12. § (4)</w:t>
      </w:r>
      <w:r w:rsidRPr="00AB1EF3">
        <w:rPr>
          <w:rFonts w:ascii="Playfair Display" w:hAnsi="Playfair Display"/>
          <w:sz w:val="16"/>
        </w:rPr>
        <w:t xml:space="preserve"> A Magyar Felsőoktatási Akkreditációs Bizottság a felsőoktatási szakképzési programról készített szakértői véleményében azt vizsgálja, hogy a felsőoktatási intézmény felsőoktatási szakképzési programja összhangban van-e a képzési és kimeneti követelményekkel, a szakképzettség szakmai kompetenciái megfelelnek-e a képzési és kimeneti követelményekben meghatározott kompetencia területek szerinti követelményeknek, a szakmai gyakorlat követelményei megfelelnek-e a szakképzettség feladatprofiljának.</w:t>
      </w:r>
    </w:p>
  </w:footnote>
  <w:footnote w:id="2">
    <w:p w14:paraId="2D8D1DD4" w14:textId="77777777" w:rsidR="0030004A" w:rsidRPr="00AB1EF3" w:rsidRDefault="0030004A">
      <w:pPr>
        <w:pStyle w:val="Lbjegyzetszveg"/>
        <w:rPr>
          <w:rFonts w:ascii="Playfair Display" w:hAnsi="Playfair Display"/>
          <w:sz w:val="16"/>
          <w:szCs w:val="18"/>
        </w:rPr>
      </w:pPr>
      <w:r w:rsidRPr="00AB1EF3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1EF3">
        <w:rPr>
          <w:rFonts w:ascii="Playfair Display" w:hAnsi="Playfair Display"/>
          <w:sz w:val="16"/>
          <w:szCs w:val="18"/>
        </w:rPr>
        <w:t xml:space="preserve"> Ld. </w:t>
      </w:r>
      <w:r w:rsidRPr="00AB1EF3">
        <w:rPr>
          <w:rFonts w:ascii="Playfair Display" w:hAnsi="Playfair Display"/>
          <w:b/>
          <w:sz w:val="16"/>
          <w:szCs w:val="18"/>
        </w:rPr>
        <w:t>230/2012. Korm. rend. 4. §</w:t>
      </w:r>
    </w:p>
  </w:footnote>
  <w:footnote w:id="3">
    <w:p w14:paraId="2D8D1DD5" w14:textId="77777777" w:rsidR="000921E7" w:rsidRPr="00AB1EF3" w:rsidRDefault="000921E7">
      <w:pPr>
        <w:pStyle w:val="Lbjegyzetszveg"/>
        <w:rPr>
          <w:sz w:val="18"/>
        </w:rPr>
      </w:pPr>
      <w:r w:rsidRPr="00AB1EF3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AB1EF3">
        <w:rPr>
          <w:rFonts w:ascii="Playfair Display" w:hAnsi="Playfair Display"/>
          <w:sz w:val="16"/>
          <w:szCs w:val="18"/>
        </w:rPr>
        <w:t xml:space="preserve"> Ld. </w:t>
      </w:r>
      <w:r w:rsidRPr="00AB1EF3">
        <w:rPr>
          <w:rFonts w:ascii="Playfair Display" w:hAnsi="Playfair Display"/>
          <w:b/>
          <w:sz w:val="16"/>
          <w:szCs w:val="18"/>
        </w:rPr>
        <w:t>230/2012. Korm. rend. 5. § (1)</w:t>
      </w:r>
    </w:p>
  </w:footnote>
  <w:footnote w:id="4">
    <w:p w14:paraId="2D8D1DD6" w14:textId="77777777" w:rsidR="000921E7" w:rsidRPr="000921E7" w:rsidRDefault="000921E7">
      <w:pPr>
        <w:pStyle w:val="Lbjegyzetszveg"/>
        <w:rPr>
          <w:rFonts w:ascii="Playfair Display" w:hAnsi="Playfair Display"/>
          <w:b/>
        </w:rPr>
      </w:pPr>
      <w:r w:rsidRPr="00AB1EF3">
        <w:rPr>
          <w:rStyle w:val="Lbjegyzet-hivatkozs"/>
          <w:rFonts w:ascii="Playfair Display" w:hAnsi="Playfair Display"/>
          <w:sz w:val="16"/>
        </w:rPr>
        <w:footnoteRef/>
      </w:r>
      <w:r w:rsidRPr="00AB1EF3">
        <w:rPr>
          <w:rFonts w:ascii="Playfair Display" w:hAnsi="Playfair Display"/>
          <w:sz w:val="16"/>
        </w:rPr>
        <w:t xml:space="preserve"> Ld. </w:t>
      </w:r>
      <w:r w:rsidRPr="00AB1EF3">
        <w:rPr>
          <w:rFonts w:ascii="Playfair Display" w:hAnsi="Playfair Display"/>
          <w:b/>
          <w:sz w:val="16"/>
        </w:rPr>
        <w:t>230/2012. Korm. rend. 6. § (1) (2) (3), 3. § (1)</w:t>
      </w:r>
    </w:p>
  </w:footnote>
  <w:footnote w:id="5">
    <w:p w14:paraId="13558015" w14:textId="77777777" w:rsidR="0046294D" w:rsidRPr="003A21C9" w:rsidRDefault="006A1DD0" w:rsidP="0046294D">
      <w:pPr>
        <w:spacing w:before="40"/>
        <w:jc w:val="both"/>
        <w:rPr>
          <w:rFonts w:ascii="Playfair Display" w:hAnsi="Playfair Display"/>
          <w:spacing w:val="-4"/>
          <w:sz w:val="16"/>
          <w:szCs w:val="18"/>
        </w:rPr>
      </w:pPr>
      <w:r w:rsidRPr="003A21C9">
        <w:rPr>
          <w:rStyle w:val="Lbjegyzet-hivatkozs"/>
          <w:rFonts w:ascii="Playfair Display" w:hAnsi="Playfair Display"/>
          <w:sz w:val="16"/>
        </w:rPr>
        <w:footnoteRef/>
      </w:r>
      <w:r w:rsidRPr="003A21C9">
        <w:rPr>
          <w:rFonts w:ascii="Playfair Display" w:hAnsi="Playfair Display"/>
          <w:sz w:val="16"/>
        </w:rPr>
        <w:t xml:space="preserve"> </w:t>
      </w:r>
      <w:r w:rsidR="0046294D" w:rsidRPr="003A21C9">
        <w:rPr>
          <w:rFonts w:ascii="Playfair Display" w:hAnsi="Playfair Display"/>
          <w:b/>
          <w:spacing w:val="-4"/>
          <w:sz w:val="16"/>
          <w:szCs w:val="18"/>
        </w:rPr>
        <w:t xml:space="preserve">A felsőoktatási szakképzések, az alap- és mesterképzések, valamint hitéleti képzések a 2022/23-as tanévtől alkalmazandó képzési és kimeneti követelményei 1. melléklet 5. pont: </w:t>
      </w:r>
    </w:p>
    <w:p w14:paraId="521F6504" w14:textId="77777777" w:rsidR="0046294D" w:rsidRPr="003A21C9" w:rsidRDefault="0046294D" w:rsidP="0046294D">
      <w:pPr>
        <w:widowControl/>
        <w:numPr>
          <w:ilvl w:val="0"/>
          <w:numId w:val="4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3A21C9">
        <w:rPr>
          <w:rFonts w:ascii="Playfair Display" w:hAnsi="Playfair Display"/>
          <w:sz w:val="16"/>
          <w:szCs w:val="18"/>
        </w:rPr>
        <w:t>kiemelten elméletorientált, amelyben az elméleti jellegű ismeretátadás aránya 70–80 százalék,</w:t>
      </w:r>
    </w:p>
    <w:p w14:paraId="19733DEC" w14:textId="77777777" w:rsidR="0046294D" w:rsidRPr="003A21C9" w:rsidRDefault="0046294D" w:rsidP="0046294D">
      <w:pPr>
        <w:widowControl/>
        <w:numPr>
          <w:ilvl w:val="0"/>
          <w:numId w:val="4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3A21C9">
        <w:rPr>
          <w:rFonts w:ascii="Playfair Display" w:hAnsi="Playfair Display"/>
          <w:sz w:val="16"/>
          <w:szCs w:val="18"/>
        </w:rPr>
        <w:t>elméletorientált, amelyben az elméleti jellegű ismeretátadás aránya 60–70 százalék,</w:t>
      </w:r>
    </w:p>
    <w:p w14:paraId="751B36B0" w14:textId="77777777" w:rsidR="0046294D" w:rsidRPr="003A21C9" w:rsidRDefault="0046294D" w:rsidP="0046294D">
      <w:pPr>
        <w:widowControl/>
        <w:numPr>
          <w:ilvl w:val="0"/>
          <w:numId w:val="4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3A21C9">
        <w:rPr>
          <w:rFonts w:ascii="Playfair Display" w:hAnsi="Playfair Display"/>
          <w:sz w:val="16"/>
          <w:szCs w:val="18"/>
        </w:rPr>
        <w:t>kiegyensúlyozott, amelyben az elméleti jellegű ismeretátadás aránya 40–60 százalék,</w:t>
      </w:r>
    </w:p>
    <w:p w14:paraId="300DE15E" w14:textId="77777777" w:rsidR="0046294D" w:rsidRPr="003A21C9" w:rsidRDefault="0046294D" w:rsidP="0046294D">
      <w:pPr>
        <w:widowControl/>
        <w:numPr>
          <w:ilvl w:val="0"/>
          <w:numId w:val="4"/>
        </w:numPr>
        <w:adjustRightInd w:val="0"/>
        <w:ind w:left="426"/>
        <w:contextualSpacing/>
        <w:jc w:val="both"/>
        <w:rPr>
          <w:rFonts w:ascii="Playfair Display" w:hAnsi="Playfair Display"/>
          <w:sz w:val="16"/>
          <w:szCs w:val="18"/>
        </w:rPr>
      </w:pPr>
      <w:r w:rsidRPr="003A21C9">
        <w:rPr>
          <w:rFonts w:ascii="Playfair Display" w:hAnsi="Playfair Display"/>
          <w:sz w:val="16"/>
          <w:szCs w:val="18"/>
        </w:rPr>
        <w:t>gyakorlatorientált, amelyben a gyakorlati jellegű ismeretszerzés aránya 60–70 százalék</w:t>
      </w:r>
    </w:p>
    <w:p w14:paraId="2D8D1DDC" w14:textId="1F8BAE7D" w:rsidR="006A1DD0" w:rsidRPr="003A21C9" w:rsidRDefault="0046294D" w:rsidP="0046294D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3A21C9">
        <w:rPr>
          <w:rFonts w:ascii="Playfair Display" w:hAnsi="Playfair Display"/>
          <w:sz w:val="16"/>
          <w:szCs w:val="18"/>
        </w:rPr>
        <w:t>kiemelten gyakorlatorientált, amelyben a gyakorlati jellegű ismeretszerzés aránya 70–80 százalék.</w:t>
      </w:r>
    </w:p>
  </w:footnote>
  <w:footnote w:id="6">
    <w:p w14:paraId="2D8D1DDD" w14:textId="77777777" w:rsidR="006A1DD0" w:rsidRPr="00AB1EF3" w:rsidRDefault="006A1DD0" w:rsidP="006A1DD0">
      <w:pPr>
        <w:pStyle w:val="Lbjegyzetszveg"/>
        <w:jc w:val="both"/>
        <w:rPr>
          <w:rFonts w:ascii="Playfair Display" w:hAnsi="Playfair Display"/>
          <w:sz w:val="16"/>
          <w:szCs w:val="18"/>
        </w:rPr>
      </w:pPr>
      <w:r w:rsidRPr="003A21C9">
        <w:rPr>
          <w:rStyle w:val="Lbjegyzet-hivatkozs"/>
          <w:rFonts w:ascii="Playfair Display" w:hAnsi="Playfair Display"/>
          <w:sz w:val="16"/>
          <w:szCs w:val="18"/>
        </w:rPr>
        <w:footnoteRef/>
      </w:r>
      <w:r w:rsidRPr="003A21C9">
        <w:rPr>
          <w:rFonts w:ascii="Playfair Display" w:hAnsi="Playfair Display"/>
          <w:sz w:val="16"/>
          <w:szCs w:val="18"/>
        </w:rPr>
        <w:t xml:space="preserve"> </w:t>
      </w:r>
      <w:proofErr w:type="spellStart"/>
      <w:r w:rsidRPr="003A21C9">
        <w:rPr>
          <w:rFonts w:ascii="Playfair Display" w:hAnsi="Playfair Display"/>
          <w:b/>
          <w:sz w:val="16"/>
          <w:szCs w:val="18"/>
        </w:rPr>
        <w:t>Nftv</w:t>
      </w:r>
      <w:proofErr w:type="spellEnd"/>
      <w:r w:rsidRPr="003A21C9">
        <w:rPr>
          <w:rFonts w:ascii="Playfair Display" w:hAnsi="Playfair Display"/>
          <w:b/>
          <w:sz w:val="16"/>
          <w:szCs w:val="18"/>
        </w:rPr>
        <w:t xml:space="preserve"> 49</w:t>
      </w:r>
      <w:r w:rsidRPr="00AB1EF3">
        <w:rPr>
          <w:rFonts w:ascii="Playfair Display" w:hAnsi="Playfair Display"/>
          <w:b/>
          <w:sz w:val="16"/>
          <w:szCs w:val="18"/>
        </w:rPr>
        <w:t>. § (5)</w:t>
      </w:r>
      <w:r w:rsidRPr="00AB1EF3">
        <w:rPr>
          <w:rFonts w:ascii="Playfair Display" w:hAnsi="Playfair Display"/>
          <w:sz w:val="16"/>
          <w:szCs w:val="18"/>
        </w:rPr>
        <w:t xml:space="preserve"> Egy adott ismeretanyag elsajátításáért egy alkalommal adható kredit. A kreditelismerés – tantárgy (modul) előírt kimeneti követelményei alapján – kizárólag a kredit megállapításának alapjául szolgáló tudás összevetésével történik. El kell ismerni a kreditet, ha az összevetett tudás legalább hetvenöt százalékban megegyezik. A tudás összevetését a felsőoktatási intézmény e célra létrehozott bizottsága (a továbbiakban: kreditátviteli bizottság) végzi.</w:t>
      </w:r>
    </w:p>
    <w:p w14:paraId="2D8D1DDE" w14:textId="77777777" w:rsidR="006A1DD0" w:rsidRDefault="006A1DD0" w:rsidP="006A1DD0">
      <w:pPr>
        <w:pStyle w:val="Lbjegyzetszveg"/>
        <w:jc w:val="both"/>
      </w:pPr>
      <w:r w:rsidRPr="00AB1EF3">
        <w:rPr>
          <w:rFonts w:ascii="Playfair Display" w:hAnsi="Playfair Display"/>
          <w:sz w:val="16"/>
          <w:szCs w:val="18"/>
        </w:rPr>
        <w:t>(6) A kreditátviteli bizottság az előzetesen megszerzett tudást, munkatapasztalatot – e törvényben, valamint kormányrendeletben meghatározottak szerint – tanulmányi követelmény teljesítéseként elismerheti.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1DC6" w14:textId="77777777" w:rsidR="00C111E3" w:rsidRDefault="00C111E3" w:rsidP="00C111E3">
    <w:pPr>
      <w:spacing w:before="64" w:line="241" w:lineRule="exact"/>
      <w:ind w:right="308"/>
      <w:rPr>
        <w:rFonts w:ascii="Playfair Display" w:hAnsi="Playfair Display"/>
        <w:b/>
        <w:color w:val="595959" w:themeColor="text1" w:themeTint="A6"/>
        <w:sz w:val="20"/>
      </w:rPr>
    </w:pPr>
    <w:r w:rsidRPr="00C111E3">
      <w:rPr>
        <w:rFonts w:ascii="Playfair Display" w:hAnsi="Playfair Display"/>
        <w:noProof/>
        <w:color w:val="595959" w:themeColor="text1" w:themeTint="A6"/>
        <w:sz w:val="18"/>
        <w:lang w:bidi="ar-SA"/>
      </w:rPr>
      <w:drawing>
        <wp:anchor distT="0" distB="0" distL="114300" distR="114300" simplePos="0" relativeHeight="251658240" behindDoc="0" locked="0" layoutInCell="1" allowOverlap="1" wp14:anchorId="2D8D1DCF" wp14:editId="2D8D1DD0">
          <wp:simplePos x="0" y="0"/>
          <wp:positionH relativeFrom="column">
            <wp:posOffset>4353707</wp:posOffset>
          </wp:positionH>
          <wp:positionV relativeFrom="paragraph">
            <wp:posOffset>47869</wp:posOffset>
          </wp:positionV>
          <wp:extent cx="1920240" cy="650240"/>
          <wp:effectExtent l="0" t="0" r="381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8D1DC7" w14:textId="77777777" w:rsidR="000921E7" w:rsidRPr="00C111E3" w:rsidRDefault="00C111E3" w:rsidP="00C111E3">
    <w:pPr>
      <w:spacing w:before="64" w:line="241" w:lineRule="exact"/>
      <w:ind w:right="308"/>
      <w:rPr>
        <w:rFonts w:ascii="Playfair Display" w:hAnsi="Playfair Display"/>
        <w:b/>
        <w:color w:val="595959" w:themeColor="text1" w:themeTint="A6"/>
        <w:sz w:val="20"/>
      </w:rPr>
    </w:pPr>
    <w:r w:rsidRPr="00C111E3">
      <w:rPr>
        <w:rFonts w:ascii="Playfair Display" w:hAnsi="Playfair Display"/>
        <w:b/>
        <w:color w:val="595959" w:themeColor="text1" w:themeTint="A6"/>
        <w:sz w:val="20"/>
      </w:rPr>
      <w:t>FELSŐOKTATÁSI SZAKKÉPZÉS – SZAKINDÍTÁS - SZAKMAI BÍRÁLATI SZEMPONTOK</w:t>
    </w:r>
  </w:p>
  <w:p w14:paraId="2D8D1DC8" w14:textId="77777777" w:rsidR="000921E7" w:rsidRDefault="000921E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D1DCB" w14:textId="0627F8D7" w:rsidR="00C111E3" w:rsidRPr="00C111E3" w:rsidRDefault="00C111E3" w:rsidP="00C111E3">
    <w:pPr>
      <w:spacing w:before="64" w:line="241" w:lineRule="exact"/>
      <w:ind w:right="308"/>
      <w:rPr>
        <w:rFonts w:ascii="Playfair Display" w:hAnsi="Playfair Display"/>
        <w:color w:val="595959" w:themeColor="text1" w:themeTint="A6"/>
        <w:sz w:val="18"/>
      </w:rPr>
    </w:pPr>
    <w:r w:rsidRPr="00C111E3">
      <w:rPr>
        <w:rFonts w:ascii="Playfair Display" w:hAnsi="Playfair Display"/>
        <w:noProof/>
        <w:color w:val="595959" w:themeColor="text1" w:themeTint="A6"/>
        <w:sz w:val="18"/>
        <w:lang w:bidi="ar-SA"/>
      </w:rPr>
      <w:drawing>
        <wp:anchor distT="0" distB="0" distL="114300" distR="114300" simplePos="0" relativeHeight="251660288" behindDoc="0" locked="0" layoutInCell="1" allowOverlap="1" wp14:anchorId="2D8D1DD1" wp14:editId="2D8D1DD2">
          <wp:simplePos x="0" y="0"/>
          <wp:positionH relativeFrom="column">
            <wp:posOffset>4347991</wp:posOffset>
          </wp:positionH>
          <wp:positionV relativeFrom="paragraph">
            <wp:posOffset>47625</wp:posOffset>
          </wp:positionV>
          <wp:extent cx="1920240" cy="650240"/>
          <wp:effectExtent l="0" t="0" r="381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b_logo_cc-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6456" w:rsidRPr="001A6456">
      <w:rPr>
        <w:rFonts w:ascii="Playfair Display" w:hAnsi="Playfair Display"/>
        <w:color w:val="595959" w:themeColor="text1" w:themeTint="A6"/>
        <w:sz w:val="18"/>
      </w:rPr>
      <w:t xml:space="preserve">A MAB 2022/8/IX/3. </w:t>
    </w:r>
    <w:r w:rsidRPr="00C111E3">
      <w:rPr>
        <w:rFonts w:ascii="Playfair Display" w:hAnsi="Playfair Display"/>
        <w:color w:val="595959" w:themeColor="text1" w:themeTint="A6"/>
        <w:sz w:val="18"/>
      </w:rPr>
      <w:t>sz. határozata</w:t>
    </w:r>
  </w:p>
  <w:p w14:paraId="2D8D1DCD" w14:textId="77777777" w:rsidR="00C111E3" w:rsidRPr="00C111E3" w:rsidRDefault="00C111E3" w:rsidP="00C111E3">
    <w:pPr>
      <w:spacing w:line="241" w:lineRule="exact"/>
      <w:ind w:right="308"/>
      <w:rPr>
        <w:rFonts w:ascii="Playfair Display" w:hAnsi="Playfair Display"/>
        <w:b/>
        <w:color w:val="595959" w:themeColor="text1" w:themeTint="A6"/>
        <w:sz w:val="20"/>
      </w:rPr>
    </w:pPr>
    <w:r w:rsidRPr="00C111E3">
      <w:rPr>
        <w:rFonts w:ascii="Playfair Display" w:hAnsi="Playfair Display"/>
        <w:b/>
        <w:color w:val="595959" w:themeColor="text1" w:themeTint="A6"/>
        <w:sz w:val="20"/>
      </w:rPr>
      <w:t>FELSŐOKTATÁSI SZAKKÉPZÉS – SZAKINDÍTÁS - SZAKMAI BÍRÁLATI SZEMPONTOK</w:t>
    </w:r>
  </w:p>
  <w:p w14:paraId="2D8D1DCE" w14:textId="77777777" w:rsidR="00C111E3" w:rsidRDefault="00C111E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37F3D"/>
    <w:multiLevelType w:val="hybridMultilevel"/>
    <w:tmpl w:val="30E650A6"/>
    <w:lvl w:ilvl="0" w:tplc="4E60469A">
      <w:start w:val="1"/>
      <w:numFmt w:val="lowerLetter"/>
      <w:lvlText w:val="%1)"/>
      <w:lvlJc w:val="left"/>
      <w:pPr>
        <w:ind w:left="491" w:hanging="224"/>
      </w:pPr>
      <w:rPr>
        <w:rFonts w:ascii="Times New Roman" w:eastAsia="Times New Roman" w:hAnsi="Times New Roman" w:cs="Times New Roman" w:hint="default"/>
        <w:w w:val="99"/>
        <w:sz w:val="20"/>
        <w:szCs w:val="20"/>
        <w:lang w:val="hu-HU" w:eastAsia="hu-HU" w:bidi="hu-HU"/>
      </w:rPr>
    </w:lvl>
    <w:lvl w:ilvl="1" w:tplc="0A7CA64A">
      <w:numFmt w:val="bullet"/>
      <w:lvlText w:val="•"/>
      <w:lvlJc w:val="left"/>
      <w:pPr>
        <w:ind w:left="1454" w:hanging="224"/>
      </w:pPr>
      <w:rPr>
        <w:rFonts w:hint="default"/>
        <w:lang w:val="hu-HU" w:eastAsia="hu-HU" w:bidi="hu-HU"/>
      </w:rPr>
    </w:lvl>
    <w:lvl w:ilvl="2" w:tplc="E7AEA424">
      <w:numFmt w:val="bullet"/>
      <w:lvlText w:val="•"/>
      <w:lvlJc w:val="left"/>
      <w:pPr>
        <w:ind w:left="2409" w:hanging="224"/>
      </w:pPr>
      <w:rPr>
        <w:rFonts w:hint="default"/>
        <w:lang w:val="hu-HU" w:eastAsia="hu-HU" w:bidi="hu-HU"/>
      </w:rPr>
    </w:lvl>
    <w:lvl w:ilvl="3" w:tplc="8592B698">
      <w:numFmt w:val="bullet"/>
      <w:lvlText w:val="•"/>
      <w:lvlJc w:val="left"/>
      <w:pPr>
        <w:ind w:left="3363" w:hanging="224"/>
      </w:pPr>
      <w:rPr>
        <w:rFonts w:hint="default"/>
        <w:lang w:val="hu-HU" w:eastAsia="hu-HU" w:bidi="hu-HU"/>
      </w:rPr>
    </w:lvl>
    <w:lvl w:ilvl="4" w:tplc="9198EDFE">
      <w:numFmt w:val="bullet"/>
      <w:lvlText w:val="•"/>
      <w:lvlJc w:val="left"/>
      <w:pPr>
        <w:ind w:left="4318" w:hanging="224"/>
      </w:pPr>
      <w:rPr>
        <w:rFonts w:hint="default"/>
        <w:lang w:val="hu-HU" w:eastAsia="hu-HU" w:bidi="hu-HU"/>
      </w:rPr>
    </w:lvl>
    <w:lvl w:ilvl="5" w:tplc="E56CEEA0">
      <w:numFmt w:val="bullet"/>
      <w:lvlText w:val="•"/>
      <w:lvlJc w:val="left"/>
      <w:pPr>
        <w:ind w:left="5273" w:hanging="224"/>
      </w:pPr>
      <w:rPr>
        <w:rFonts w:hint="default"/>
        <w:lang w:val="hu-HU" w:eastAsia="hu-HU" w:bidi="hu-HU"/>
      </w:rPr>
    </w:lvl>
    <w:lvl w:ilvl="6" w:tplc="06124EF2">
      <w:numFmt w:val="bullet"/>
      <w:lvlText w:val="•"/>
      <w:lvlJc w:val="left"/>
      <w:pPr>
        <w:ind w:left="6227" w:hanging="224"/>
      </w:pPr>
      <w:rPr>
        <w:rFonts w:hint="default"/>
        <w:lang w:val="hu-HU" w:eastAsia="hu-HU" w:bidi="hu-HU"/>
      </w:rPr>
    </w:lvl>
    <w:lvl w:ilvl="7" w:tplc="23549610">
      <w:numFmt w:val="bullet"/>
      <w:lvlText w:val="•"/>
      <w:lvlJc w:val="left"/>
      <w:pPr>
        <w:ind w:left="7182" w:hanging="224"/>
      </w:pPr>
      <w:rPr>
        <w:rFonts w:hint="default"/>
        <w:lang w:val="hu-HU" w:eastAsia="hu-HU" w:bidi="hu-HU"/>
      </w:rPr>
    </w:lvl>
    <w:lvl w:ilvl="8" w:tplc="4BAEB1FE">
      <w:numFmt w:val="bullet"/>
      <w:lvlText w:val="•"/>
      <w:lvlJc w:val="left"/>
      <w:pPr>
        <w:ind w:left="8137" w:hanging="224"/>
      </w:pPr>
      <w:rPr>
        <w:rFonts w:hint="default"/>
        <w:lang w:val="hu-HU" w:eastAsia="hu-HU" w:bidi="hu-HU"/>
      </w:rPr>
    </w:lvl>
  </w:abstractNum>
  <w:abstractNum w:abstractNumId="1" w15:restartNumberingAfterBreak="0">
    <w:nsid w:val="58A27B9E"/>
    <w:multiLevelType w:val="hybridMultilevel"/>
    <w:tmpl w:val="59405E2C"/>
    <w:lvl w:ilvl="0" w:tplc="441C71EC">
      <w:numFmt w:val="bullet"/>
      <w:lvlText w:val="-"/>
      <w:lvlJc w:val="left"/>
      <w:pPr>
        <w:ind w:left="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hu-HU" w:bidi="hu-HU"/>
      </w:rPr>
    </w:lvl>
    <w:lvl w:ilvl="1" w:tplc="FC34FDD2">
      <w:numFmt w:val="bullet"/>
      <w:lvlText w:val="•"/>
      <w:lvlJc w:val="left"/>
      <w:pPr>
        <w:ind w:left="1323" w:hanging="360"/>
      </w:pPr>
      <w:rPr>
        <w:rFonts w:hint="default"/>
        <w:lang w:val="hu-HU" w:eastAsia="hu-HU" w:bidi="hu-HU"/>
      </w:rPr>
    </w:lvl>
    <w:lvl w:ilvl="2" w:tplc="F2402A06">
      <w:numFmt w:val="bullet"/>
      <w:lvlText w:val="•"/>
      <w:lvlJc w:val="left"/>
      <w:pPr>
        <w:ind w:left="2226" w:hanging="360"/>
      </w:pPr>
      <w:rPr>
        <w:rFonts w:hint="default"/>
        <w:lang w:val="hu-HU" w:eastAsia="hu-HU" w:bidi="hu-HU"/>
      </w:rPr>
    </w:lvl>
    <w:lvl w:ilvl="3" w:tplc="A7C4B744">
      <w:numFmt w:val="bullet"/>
      <w:lvlText w:val="•"/>
      <w:lvlJc w:val="left"/>
      <w:pPr>
        <w:ind w:left="3129" w:hanging="360"/>
      </w:pPr>
      <w:rPr>
        <w:rFonts w:hint="default"/>
        <w:lang w:val="hu-HU" w:eastAsia="hu-HU" w:bidi="hu-HU"/>
      </w:rPr>
    </w:lvl>
    <w:lvl w:ilvl="4" w:tplc="52F05448">
      <w:numFmt w:val="bullet"/>
      <w:lvlText w:val="•"/>
      <w:lvlJc w:val="left"/>
      <w:pPr>
        <w:ind w:left="4032" w:hanging="360"/>
      </w:pPr>
      <w:rPr>
        <w:rFonts w:hint="default"/>
        <w:lang w:val="hu-HU" w:eastAsia="hu-HU" w:bidi="hu-HU"/>
      </w:rPr>
    </w:lvl>
    <w:lvl w:ilvl="5" w:tplc="A19EB170">
      <w:numFmt w:val="bullet"/>
      <w:lvlText w:val="•"/>
      <w:lvlJc w:val="left"/>
      <w:pPr>
        <w:ind w:left="4935" w:hanging="360"/>
      </w:pPr>
      <w:rPr>
        <w:rFonts w:hint="default"/>
        <w:lang w:val="hu-HU" w:eastAsia="hu-HU" w:bidi="hu-HU"/>
      </w:rPr>
    </w:lvl>
    <w:lvl w:ilvl="6" w:tplc="ABCEA844">
      <w:numFmt w:val="bullet"/>
      <w:lvlText w:val="•"/>
      <w:lvlJc w:val="left"/>
      <w:pPr>
        <w:ind w:left="5838" w:hanging="360"/>
      </w:pPr>
      <w:rPr>
        <w:rFonts w:hint="default"/>
        <w:lang w:val="hu-HU" w:eastAsia="hu-HU" w:bidi="hu-HU"/>
      </w:rPr>
    </w:lvl>
    <w:lvl w:ilvl="7" w:tplc="BC8E1028">
      <w:numFmt w:val="bullet"/>
      <w:lvlText w:val="•"/>
      <w:lvlJc w:val="left"/>
      <w:pPr>
        <w:ind w:left="6741" w:hanging="360"/>
      </w:pPr>
      <w:rPr>
        <w:rFonts w:hint="default"/>
        <w:lang w:val="hu-HU" w:eastAsia="hu-HU" w:bidi="hu-HU"/>
      </w:rPr>
    </w:lvl>
    <w:lvl w:ilvl="8" w:tplc="11D8F840">
      <w:numFmt w:val="bullet"/>
      <w:lvlText w:val="•"/>
      <w:lvlJc w:val="left"/>
      <w:pPr>
        <w:ind w:left="7644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7C1048D5"/>
    <w:multiLevelType w:val="hybridMultilevel"/>
    <w:tmpl w:val="76946B8C"/>
    <w:lvl w:ilvl="0" w:tplc="4ED49EDE">
      <w:start w:val="1"/>
      <w:numFmt w:val="lowerLetter"/>
      <w:lvlText w:val="%1)"/>
      <w:lvlJc w:val="left"/>
      <w:pPr>
        <w:ind w:left="1004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CE51E8F"/>
    <w:multiLevelType w:val="hybridMultilevel"/>
    <w:tmpl w:val="35CEAD3A"/>
    <w:lvl w:ilvl="0" w:tplc="610A34B0">
      <w:start w:val="1"/>
      <w:numFmt w:val="decimal"/>
      <w:lvlText w:val="%1."/>
      <w:lvlJc w:val="left"/>
      <w:pPr>
        <w:ind w:left="707" w:hanging="358"/>
      </w:pPr>
      <w:rPr>
        <w:rFonts w:hint="default"/>
        <w:b/>
        <w:bCs/>
        <w:w w:val="100"/>
        <w:lang w:val="hu-HU" w:eastAsia="hu-HU" w:bidi="hu-HU"/>
      </w:rPr>
    </w:lvl>
    <w:lvl w:ilvl="1" w:tplc="93083E74">
      <w:numFmt w:val="bullet"/>
      <w:lvlText w:val="•"/>
      <w:lvlJc w:val="left"/>
      <w:pPr>
        <w:ind w:left="916" w:hanging="425"/>
      </w:pPr>
      <w:rPr>
        <w:rFonts w:hint="default"/>
        <w:w w:val="100"/>
        <w:sz w:val="22"/>
        <w:szCs w:val="22"/>
        <w:lang w:val="hu-HU" w:eastAsia="hu-HU" w:bidi="hu-HU"/>
      </w:rPr>
    </w:lvl>
    <w:lvl w:ilvl="2" w:tplc="76028E34">
      <w:numFmt w:val="bullet"/>
      <w:lvlText w:val="•"/>
      <w:lvlJc w:val="left"/>
      <w:pPr>
        <w:ind w:left="1934" w:hanging="425"/>
      </w:pPr>
      <w:rPr>
        <w:rFonts w:hint="default"/>
        <w:lang w:val="hu-HU" w:eastAsia="hu-HU" w:bidi="hu-HU"/>
      </w:rPr>
    </w:lvl>
    <w:lvl w:ilvl="3" w:tplc="FB463140">
      <w:numFmt w:val="bullet"/>
      <w:lvlText w:val="•"/>
      <w:lvlJc w:val="left"/>
      <w:pPr>
        <w:ind w:left="2948" w:hanging="425"/>
      </w:pPr>
      <w:rPr>
        <w:rFonts w:hint="default"/>
        <w:lang w:val="hu-HU" w:eastAsia="hu-HU" w:bidi="hu-HU"/>
      </w:rPr>
    </w:lvl>
    <w:lvl w:ilvl="4" w:tplc="DAE048B6">
      <w:numFmt w:val="bullet"/>
      <w:lvlText w:val="•"/>
      <w:lvlJc w:val="left"/>
      <w:pPr>
        <w:ind w:left="3962" w:hanging="425"/>
      </w:pPr>
      <w:rPr>
        <w:rFonts w:hint="default"/>
        <w:lang w:val="hu-HU" w:eastAsia="hu-HU" w:bidi="hu-HU"/>
      </w:rPr>
    </w:lvl>
    <w:lvl w:ilvl="5" w:tplc="BDEC926C">
      <w:numFmt w:val="bullet"/>
      <w:lvlText w:val="•"/>
      <w:lvlJc w:val="left"/>
      <w:pPr>
        <w:ind w:left="4976" w:hanging="425"/>
      </w:pPr>
      <w:rPr>
        <w:rFonts w:hint="default"/>
        <w:lang w:val="hu-HU" w:eastAsia="hu-HU" w:bidi="hu-HU"/>
      </w:rPr>
    </w:lvl>
    <w:lvl w:ilvl="6" w:tplc="C88C2204">
      <w:numFmt w:val="bullet"/>
      <w:lvlText w:val="•"/>
      <w:lvlJc w:val="left"/>
      <w:pPr>
        <w:ind w:left="5990" w:hanging="425"/>
      </w:pPr>
      <w:rPr>
        <w:rFonts w:hint="default"/>
        <w:lang w:val="hu-HU" w:eastAsia="hu-HU" w:bidi="hu-HU"/>
      </w:rPr>
    </w:lvl>
    <w:lvl w:ilvl="7" w:tplc="55F6510A">
      <w:numFmt w:val="bullet"/>
      <w:lvlText w:val="•"/>
      <w:lvlJc w:val="left"/>
      <w:pPr>
        <w:ind w:left="7004" w:hanging="425"/>
      </w:pPr>
      <w:rPr>
        <w:rFonts w:hint="default"/>
        <w:lang w:val="hu-HU" w:eastAsia="hu-HU" w:bidi="hu-HU"/>
      </w:rPr>
    </w:lvl>
    <w:lvl w:ilvl="8" w:tplc="4706158A">
      <w:numFmt w:val="bullet"/>
      <w:lvlText w:val="•"/>
      <w:lvlJc w:val="left"/>
      <w:pPr>
        <w:ind w:left="8018" w:hanging="425"/>
      </w:pPr>
      <w:rPr>
        <w:rFonts w:hint="default"/>
        <w:lang w:val="hu-HU" w:eastAsia="hu-HU" w:bidi="hu-HU"/>
      </w:rPr>
    </w:lvl>
  </w:abstractNum>
  <w:num w:numId="1" w16cid:durableId="421803528">
    <w:abstractNumId w:val="0"/>
  </w:num>
  <w:num w:numId="2" w16cid:durableId="1491024893">
    <w:abstractNumId w:val="3"/>
  </w:num>
  <w:num w:numId="3" w16cid:durableId="104006732">
    <w:abstractNumId w:val="1"/>
  </w:num>
  <w:num w:numId="4" w16cid:durableId="147012465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34"/>
    <w:rsid w:val="000921E7"/>
    <w:rsid w:val="00093F7E"/>
    <w:rsid w:val="001A6456"/>
    <w:rsid w:val="002215FE"/>
    <w:rsid w:val="0030004A"/>
    <w:rsid w:val="003A21C9"/>
    <w:rsid w:val="0046294D"/>
    <w:rsid w:val="006A1DD0"/>
    <w:rsid w:val="0095366D"/>
    <w:rsid w:val="00AB1EF3"/>
    <w:rsid w:val="00B160AD"/>
    <w:rsid w:val="00C111E3"/>
    <w:rsid w:val="00CD451A"/>
    <w:rsid w:val="00CF637D"/>
    <w:rsid w:val="00D46B34"/>
    <w:rsid w:val="00E23C72"/>
    <w:rsid w:val="00F1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8D1D94"/>
  <w15:docId w15:val="{10EB2517-4A5A-4F3B-8016-551C44CD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 w:eastAsia="hu-HU" w:bidi="hu-HU"/>
    </w:rPr>
  </w:style>
  <w:style w:type="paragraph" w:styleId="Cmsor1">
    <w:name w:val="heading 1"/>
    <w:basedOn w:val="Norml"/>
    <w:uiPriority w:val="1"/>
    <w:qFormat/>
    <w:pPr>
      <w:ind w:left="350"/>
      <w:outlineLvl w:val="0"/>
    </w:pPr>
    <w:rPr>
      <w:b/>
      <w:bCs/>
      <w:u w:val="single" w:color="000000"/>
    </w:rPr>
  </w:style>
  <w:style w:type="paragraph" w:styleId="Cmsor2">
    <w:name w:val="heading 2"/>
    <w:basedOn w:val="Norml"/>
    <w:uiPriority w:val="1"/>
    <w:qFormat/>
    <w:pPr>
      <w:spacing w:before="11"/>
      <w:ind w:left="20"/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spacing w:before="20"/>
      <w:ind w:left="707" w:hanging="357"/>
    </w:pPr>
  </w:style>
  <w:style w:type="paragraph" w:customStyle="1" w:styleId="TableParagraph">
    <w:name w:val="Table Paragraph"/>
    <w:basedOn w:val="Norml"/>
    <w:uiPriority w:val="1"/>
    <w:qFormat/>
    <w:pPr>
      <w:ind w:left="69"/>
    </w:pPr>
  </w:style>
  <w:style w:type="paragraph" w:styleId="Lbjegyzetszveg">
    <w:name w:val="footnote text"/>
    <w:basedOn w:val="Norml"/>
    <w:link w:val="LbjegyzetszvegChar"/>
    <w:uiPriority w:val="99"/>
    <w:unhideWhenUsed/>
    <w:rsid w:val="0030004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0004A"/>
    <w:rPr>
      <w:rFonts w:ascii="Times New Roman" w:eastAsia="Times New Roman" w:hAnsi="Times New Roman" w:cs="Times New Roman"/>
      <w:sz w:val="20"/>
      <w:szCs w:val="20"/>
      <w:lang w:val="hu-HU" w:eastAsia="hu-HU" w:bidi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30004A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921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21E7"/>
    <w:rPr>
      <w:rFonts w:ascii="Times New Roman" w:eastAsia="Times New Roman" w:hAnsi="Times New Roman" w:cs="Times New Roman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0921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21E7"/>
    <w:rPr>
      <w:rFonts w:ascii="Times New Roman" w:eastAsia="Times New Roman" w:hAnsi="Times New Roman" w:cs="Times New Roman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609c44-1a02-4315-af35-9867413b06e4">
      <Terms xmlns="http://schemas.microsoft.com/office/infopath/2007/PartnerControls"/>
    </lcf76f155ced4ddcb4097134ff3c332f>
    <TaxCatchAll xmlns="1f4c7420-ec40-4a44-a15c-6f52e457a8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B7BAE2063BBBA498E7FA3450EDCBBE9" ma:contentTypeVersion="16" ma:contentTypeDescription="Új dokumentum létrehozása." ma:contentTypeScope="" ma:versionID="0fac738eae229bac3c130eb369f41dc9">
  <xsd:schema xmlns:xsd="http://www.w3.org/2001/XMLSchema" xmlns:xs="http://www.w3.org/2001/XMLSchema" xmlns:p="http://schemas.microsoft.com/office/2006/metadata/properties" xmlns:ns2="43609c44-1a02-4315-af35-9867413b06e4" xmlns:ns3="1f4c7420-ec40-4a44-a15c-6f52e457a8f5" targetNamespace="http://schemas.microsoft.com/office/2006/metadata/properties" ma:root="true" ma:fieldsID="200e419749b68eb23ad315f627491f3f" ns2:_="" ns3:_="">
    <xsd:import namespace="43609c44-1a02-4315-af35-9867413b06e4"/>
    <xsd:import namespace="1f4c7420-ec40-4a44-a15c-6f52e457a8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09c44-1a02-4315-af35-9867413b06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53b20e2b-54aa-4d53-abfd-23dab211b6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c7420-ec40-4a44-a15c-6f52e457a8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6a47457-5d57-42b3-9385-9d01dcfa8716}" ma:internalName="TaxCatchAll" ma:showField="CatchAllData" ma:web="1f4c7420-ec40-4a44-a15c-6f52e457a8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1CF510-E8D0-4640-9793-FC3C9BDA51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B1EC7E-3C89-43F7-A404-124D5A610AD8}">
  <ds:schemaRefs>
    <ds:schemaRef ds:uri="http://schemas.microsoft.com/office/2006/metadata/properties"/>
    <ds:schemaRef ds:uri="http://schemas.microsoft.com/office/infopath/2007/PartnerControls"/>
    <ds:schemaRef ds:uri="43609c44-1a02-4315-af35-9867413b06e4"/>
    <ds:schemaRef ds:uri="1f4c7420-ec40-4a44-a15c-6f52e457a8f5"/>
  </ds:schemaRefs>
</ds:datastoreItem>
</file>

<file path=customXml/itemProps3.xml><?xml version="1.0" encoding="utf-8"?>
<ds:datastoreItem xmlns:ds="http://schemas.openxmlformats.org/officeDocument/2006/customXml" ds:itemID="{87E2DCA9-C6F4-4189-84F3-4FDAD43E1C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7D95E2-90C5-4981-8AA3-FA75ABDD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09c44-1a02-4315-af35-9867413b06e4"/>
    <ds:schemaRef ds:uri="1f4c7420-ec40-4a44-a15c-6f52e457a8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608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MAB ALAP-, ÉS MESTERKÉPZÉSI SZAKOK  INDÍTÁSÁRA VONATKOZÓ</vt:lpstr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MAB ALAP-, ÉS MESTERKÉPZÉSI SZAKOK  INDÍTÁSÁRA VONATKOZÓ</dc:title>
  <dc:creator>Halmay Nóra</dc:creator>
  <cp:lastModifiedBy>Szlivka Andrea</cp:lastModifiedBy>
  <cp:revision>11</cp:revision>
  <dcterms:created xsi:type="dcterms:W3CDTF">2019-08-06T09:35:00Z</dcterms:created>
  <dcterms:modified xsi:type="dcterms:W3CDTF">2022-11-04T16:42:00Z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2019-08-06T00:00:00Z</vt:filetime>
  </property>
  <property fmtid="{D5CDD505-2E9C-101B-9397-08002B2CF9AE}" pid="5" name="ContentTypeId">
    <vt:lpwstr>0x0101001B7BAE2063BBBA498E7FA3450EDCBBE9</vt:lpwstr>
  </property>
  <property fmtid="{D5CDD505-2E9C-101B-9397-08002B2CF9AE}" pid="6" name="MediaServiceImageTags">
    <vt:lpwstr/>
  </property>
</Properties>
</file>