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37B3" w14:textId="77777777" w:rsidR="00F3307A" w:rsidRDefault="00F3307A">
      <w:pPr>
        <w:spacing w:before="81"/>
        <w:ind w:left="6419"/>
        <w:rPr>
          <w:b/>
          <w:i/>
          <w:sz w:val="21"/>
        </w:rPr>
      </w:pPr>
    </w:p>
    <w:p w14:paraId="475D37B4" w14:textId="77777777" w:rsidR="00F3307A" w:rsidRPr="00F3307A" w:rsidRDefault="00F3307A" w:rsidP="00F3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ind w:left="142" w:right="91"/>
        <w:jc w:val="center"/>
        <w:rPr>
          <w:b/>
          <w:sz w:val="28"/>
          <w:szCs w:val="24"/>
        </w:rPr>
      </w:pPr>
      <w:r w:rsidRPr="00F3307A">
        <w:rPr>
          <w:b/>
          <w:sz w:val="28"/>
          <w:szCs w:val="24"/>
        </w:rPr>
        <w:t>A MAB akkreditációs elvárásai, SZAKMAI BÍRÁLATI SZEMPONTJAI (</w:t>
      </w:r>
      <w:proofErr w:type="spellStart"/>
      <w:r w:rsidRPr="00F3307A">
        <w:rPr>
          <w:b/>
          <w:sz w:val="28"/>
          <w:szCs w:val="24"/>
        </w:rPr>
        <w:t>SzBSz</w:t>
      </w:r>
      <w:proofErr w:type="spellEnd"/>
      <w:r w:rsidRPr="00F3307A">
        <w:rPr>
          <w:b/>
          <w:sz w:val="28"/>
          <w:szCs w:val="24"/>
        </w:rPr>
        <w:t>) felsőoktatási szakképzés (</w:t>
      </w:r>
      <w:proofErr w:type="spellStart"/>
      <w:r w:rsidRPr="00F3307A">
        <w:rPr>
          <w:b/>
          <w:sz w:val="28"/>
          <w:szCs w:val="24"/>
        </w:rPr>
        <w:t>Fsz</w:t>
      </w:r>
      <w:proofErr w:type="spellEnd"/>
      <w:r w:rsidRPr="00F3307A">
        <w:rPr>
          <w:b/>
          <w:sz w:val="28"/>
          <w:szCs w:val="24"/>
        </w:rPr>
        <w:t>) létesítésének, képzési és kimeneti követelményeinek (KKK) véleményezésében</w:t>
      </w:r>
    </w:p>
    <w:p w14:paraId="475D37B5" w14:textId="77777777" w:rsidR="00F1788A" w:rsidRDefault="00F1788A">
      <w:pPr>
        <w:pStyle w:val="Szvegtrzs"/>
        <w:spacing w:before="9"/>
        <w:rPr>
          <w:b/>
          <w:i/>
          <w:sz w:val="27"/>
        </w:rPr>
      </w:pPr>
    </w:p>
    <w:p w14:paraId="475D37B6" w14:textId="079E6314" w:rsidR="00F1788A" w:rsidRPr="00F3307A" w:rsidRDefault="00701797">
      <w:pPr>
        <w:pStyle w:val="Cmsor1"/>
        <w:spacing w:before="37"/>
        <w:ind w:right="93"/>
        <w:jc w:val="center"/>
        <w:rPr>
          <w:rFonts w:ascii="Playfair Display" w:hAnsi="Playfair Display"/>
        </w:rPr>
      </w:pPr>
      <w:r>
        <w:rPr>
          <w:b w:val="0"/>
          <w:spacing w:val="-60"/>
          <w:shd w:val="clear" w:color="auto" w:fill="FFFF00"/>
        </w:rPr>
        <w:t xml:space="preserve"> </w:t>
      </w:r>
      <w:r w:rsidRPr="00F3307A">
        <w:rPr>
          <w:rFonts w:ascii="Playfair Display" w:hAnsi="Playfair Display"/>
        </w:rPr>
        <w:t>Hatályos: 20</w:t>
      </w:r>
      <w:r w:rsidR="000638C7">
        <w:rPr>
          <w:rFonts w:ascii="Playfair Display" w:hAnsi="Playfair Display"/>
        </w:rPr>
        <w:t>22</w:t>
      </w:r>
      <w:r w:rsidRPr="00F3307A">
        <w:rPr>
          <w:rFonts w:ascii="Playfair Display" w:hAnsi="Playfair Display"/>
        </w:rPr>
        <w:t xml:space="preserve">. </w:t>
      </w:r>
      <w:r w:rsidR="000638C7">
        <w:rPr>
          <w:rFonts w:ascii="Playfair Display" w:hAnsi="Playfair Display"/>
        </w:rPr>
        <w:t>október 21</w:t>
      </w:r>
      <w:r w:rsidRPr="00F3307A">
        <w:rPr>
          <w:rFonts w:ascii="Playfair Display" w:hAnsi="Playfair Display"/>
        </w:rPr>
        <w:t>-től</w:t>
      </w:r>
    </w:p>
    <w:p w14:paraId="475D37B7" w14:textId="77777777" w:rsidR="00F1788A" w:rsidRDefault="00F1788A">
      <w:pPr>
        <w:pStyle w:val="Szvegtrzs"/>
        <w:rPr>
          <w:b/>
          <w:sz w:val="26"/>
        </w:rPr>
      </w:pPr>
    </w:p>
    <w:p w14:paraId="475D37B8" w14:textId="77777777" w:rsidR="00F1788A" w:rsidRDefault="00F1788A">
      <w:pPr>
        <w:pStyle w:val="Szvegtrzs"/>
        <w:rPr>
          <w:b/>
          <w:sz w:val="26"/>
        </w:rPr>
      </w:pPr>
    </w:p>
    <w:p w14:paraId="475D37B9" w14:textId="77777777" w:rsidR="00F1788A" w:rsidRDefault="00F1788A" w:rsidP="00F3307A">
      <w:pPr>
        <w:pStyle w:val="Szvegtrzs"/>
        <w:spacing w:before="1"/>
        <w:rPr>
          <w:b/>
        </w:rPr>
      </w:pPr>
    </w:p>
    <w:p w14:paraId="475D37BA" w14:textId="77777777" w:rsidR="00F1788A" w:rsidRPr="00F3307A" w:rsidRDefault="00701797" w:rsidP="00F3307A">
      <w:pPr>
        <w:tabs>
          <w:tab w:val="left" w:pos="8968"/>
        </w:tabs>
        <w:rPr>
          <w:rFonts w:ascii="Playfair Display" w:hAnsi="Playfair Display"/>
          <w:b/>
          <w:sz w:val="20"/>
          <w:szCs w:val="20"/>
        </w:rPr>
      </w:pPr>
      <w:r w:rsidRPr="00F3307A">
        <w:rPr>
          <w:rFonts w:ascii="Playfair Display" w:hAnsi="Playfair Display"/>
          <w:b/>
          <w:sz w:val="20"/>
          <w:szCs w:val="20"/>
        </w:rPr>
        <w:t>Tartalom:</w:t>
      </w:r>
      <w:r w:rsidRPr="00F3307A">
        <w:rPr>
          <w:rFonts w:ascii="Playfair Display" w:hAnsi="Playfair Display"/>
          <w:b/>
          <w:sz w:val="20"/>
          <w:szCs w:val="20"/>
        </w:rPr>
        <w:tab/>
        <w:t>Oldal</w:t>
      </w:r>
    </w:p>
    <w:p w14:paraId="475D37BB" w14:textId="77777777" w:rsidR="00F1788A" w:rsidRPr="00F3307A" w:rsidRDefault="00701797" w:rsidP="00F3307A">
      <w:pPr>
        <w:pBdr>
          <w:top w:val="single" w:sz="4" w:space="1" w:color="auto"/>
          <w:bottom w:val="single" w:sz="4" w:space="1" w:color="auto"/>
        </w:pBdr>
        <w:tabs>
          <w:tab w:val="right" w:pos="9182"/>
        </w:tabs>
        <w:spacing w:before="153"/>
        <w:rPr>
          <w:rFonts w:ascii="Playfair Display" w:hAnsi="Playfair Display"/>
          <w:sz w:val="20"/>
          <w:szCs w:val="20"/>
        </w:rPr>
      </w:pPr>
      <w:r w:rsidRPr="00F3307A">
        <w:rPr>
          <w:rFonts w:ascii="Playfair Display" w:hAnsi="Playfair Display"/>
          <w:sz w:val="20"/>
          <w:szCs w:val="20"/>
        </w:rPr>
        <w:t>A SZAKKÉPZÉS tervezett KÉPZÉSI ÉS</w:t>
      </w:r>
      <w:r w:rsidRPr="00F3307A">
        <w:rPr>
          <w:rFonts w:ascii="Playfair Display" w:hAnsi="Playfair Display"/>
          <w:spacing w:val="-4"/>
          <w:sz w:val="20"/>
          <w:szCs w:val="20"/>
        </w:rPr>
        <w:t xml:space="preserve"> </w:t>
      </w:r>
      <w:r w:rsidRPr="00F3307A">
        <w:rPr>
          <w:rFonts w:ascii="Playfair Display" w:hAnsi="Playfair Display"/>
          <w:sz w:val="20"/>
          <w:szCs w:val="20"/>
        </w:rPr>
        <w:t>KIMENETI KÖVETELMÉNYEI</w:t>
      </w:r>
      <w:r w:rsidRPr="00F3307A">
        <w:rPr>
          <w:rFonts w:ascii="Playfair Display" w:hAnsi="Playfair Display"/>
          <w:sz w:val="20"/>
          <w:szCs w:val="20"/>
        </w:rPr>
        <w:tab/>
        <w:t>1</w:t>
      </w:r>
    </w:p>
    <w:p w14:paraId="475D37BC" w14:textId="77777777" w:rsidR="00F1788A" w:rsidRPr="00F3307A" w:rsidRDefault="00701797" w:rsidP="00F3307A">
      <w:pPr>
        <w:pBdr>
          <w:top w:val="single" w:sz="4" w:space="1" w:color="auto"/>
          <w:bottom w:val="single" w:sz="4" w:space="1" w:color="auto"/>
        </w:pBdr>
        <w:tabs>
          <w:tab w:val="right" w:pos="9182"/>
        </w:tabs>
        <w:spacing w:before="119"/>
        <w:rPr>
          <w:rFonts w:ascii="Playfair Display" w:hAnsi="Playfair Display"/>
          <w:sz w:val="20"/>
          <w:szCs w:val="20"/>
        </w:rPr>
      </w:pPr>
      <w:r w:rsidRPr="00F3307A">
        <w:rPr>
          <w:rFonts w:ascii="Playfair Display" w:hAnsi="Playfair Display"/>
          <w:sz w:val="20"/>
          <w:szCs w:val="20"/>
        </w:rPr>
        <w:t>Melléklet: A felsőoktatási szakképzésben szerezhető végzettségi</w:t>
      </w:r>
      <w:r w:rsidRPr="00F3307A">
        <w:rPr>
          <w:rFonts w:ascii="Playfair Display" w:hAnsi="Playfair Display"/>
          <w:spacing w:val="-12"/>
          <w:sz w:val="20"/>
          <w:szCs w:val="20"/>
        </w:rPr>
        <w:t xml:space="preserve"> </w:t>
      </w:r>
      <w:r w:rsidRPr="00F3307A">
        <w:rPr>
          <w:rFonts w:ascii="Playfair Display" w:hAnsi="Playfair Display"/>
          <w:sz w:val="20"/>
          <w:szCs w:val="20"/>
        </w:rPr>
        <w:t>szint</w:t>
      </w:r>
      <w:r w:rsidRPr="00F3307A">
        <w:rPr>
          <w:rFonts w:ascii="Playfair Display" w:hAnsi="Playfair Display"/>
          <w:spacing w:val="-3"/>
          <w:sz w:val="20"/>
          <w:szCs w:val="20"/>
        </w:rPr>
        <w:t xml:space="preserve"> </w:t>
      </w:r>
      <w:r w:rsidRPr="00F3307A">
        <w:rPr>
          <w:rFonts w:ascii="Playfair Display" w:hAnsi="Playfair Display"/>
          <w:sz w:val="20"/>
          <w:szCs w:val="20"/>
        </w:rPr>
        <w:t>jellemzői</w:t>
      </w:r>
      <w:r w:rsidRPr="00F3307A">
        <w:rPr>
          <w:rFonts w:ascii="Playfair Display" w:hAnsi="Playfair Display"/>
          <w:sz w:val="20"/>
          <w:szCs w:val="20"/>
        </w:rPr>
        <w:tab/>
        <w:t>2</w:t>
      </w:r>
    </w:p>
    <w:p w14:paraId="475D37BD" w14:textId="77777777" w:rsidR="00F1788A" w:rsidRPr="00F3307A" w:rsidRDefault="00F1788A" w:rsidP="00F3307A">
      <w:pPr>
        <w:pStyle w:val="Szvegtrzs"/>
        <w:rPr>
          <w:rFonts w:ascii="Playfair Display" w:hAnsi="Playfair Display"/>
          <w:sz w:val="20"/>
          <w:szCs w:val="20"/>
        </w:rPr>
      </w:pPr>
    </w:p>
    <w:p w14:paraId="475D37BE" w14:textId="77777777" w:rsidR="00F1788A" w:rsidRDefault="00F1788A" w:rsidP="00F3307A">
      <w:pPr>
        <w:pStyle w:val="Szvegtrzs"/>
        <w:spacing w:before="11"/>
        <w:rPr>
          <w:b/>
          <w:sz w:val="24"/>
        </w:rPr>
      </w:pPr>
    </w:p>
    <w:p w14:paraId="475D37BF" w14:textId="77777777" w:rsidR="00F3307A" w:rsidRPr="00F3307A" w:rsidRDefault="00F3307A" w:rsidP="00F3307A">
      <w:pPr>
        <w:spacing w:after="120"/>
        <w:jc w:val="both"/>
        <w:rPr>
          <w:rFonts w:ascii="Playfair Display" w:hAnsi="Playfair Display"/>
          <w:b/>
          <w:sz w:val="20"/>
        </w:rPr>
      </w:pPr>
      <w:r w:rsidRPr="00F3307A">
        <w:rPr>
          <w:rFonts w:ascii="Playfair Display" w:hAnsi="Playfair Display"/>
          <w:b/>
          <w:sz w:val="20"/>
        </w:rPr>
        <w:t>Jogszabályi háttér:</w:t>
      </w:r>
    </w:p>
    <w:p w14:paraId="475D37C0" w14:textId="11F36EF2" w:rsidR="00F3307A" w:rsidRPr="000638C7" w:rsidRDefault="00F3307A" w:rsidP="00F3307A">
      <w:pPr>
        <w:spacing w:after="120"/>
        <w:ind w:right="103"/>
        <w:jc w:val="both"/>
        <w:rPr>
          <w:rFonts w:ascii="Playfair Display" w:hAnsi="Playfair Display"/>
          <w:sz w:val="20"/>
        </w:rPr>
      </w:pPr>
      <w:r w:rsidRPr="000638C7">
        <w:rPr>
          <w:rFonts w:ascii="Playfair Display" w:hAnsi="Playfair Display"/>
          <w:sz w:val="20"/>
        </w:rPr>
        <w:t>A MAB a felsőoktatási szakképzés létesítése szakmai bírálati szempontjainak (</w:t>
      </w:r>
      <w:proofErr w:type="spellStart"/>
      <w:r w:rsidRPr="000638C7">
        <w:rPr>
          <w:rFonts w:ascii="Playfair Display" w:hAnsi="Playfair Display"/>
          <w:sz w:val="20"/>
        </w:rPr>
        <w:t>SzBSz</w:t>
      </w:r>
      <w:proofErr w:type="spellEnd"/>
      <w:r w:rsidRPr="000638C7">
        <w:rPr>
          <w:rFonts w:ascii="Playfair Display" w:hAnsi="Playfair Display"/>
          <w:sz w:val="20"/>
        </w:rPr>
        <w:t xml:space="preserve">) összeállításánál kiindulási alapnak tekinti a nemzeti felsőoktatásról szóló 2011. évi CCIV. törvény vonatkozó rendelkezéseit és a </w:t>
      </w:r>
      <w:r w:rsidR="00CA599E" w:rsidRPr="000638C7">
        <w:rPr>
          <w:rFonts w:ascii="Playfair Display" w:hAnsi="Playfair Display"/>
          <w:sz w:val="20"/>
        </w:rPr>
        <w:t xml:space="preserve">65/2021. (XII. 29.) ITM rendelet (a felsőoktatásban szerezhető képesítések jegyzékéről és az új képzések létesítéséről) </w:t>
      </w:r>
      <w:r w:rsidRPr="000638C7">
        <w:rPr>
          <w:rFonts w:ascii="Playfair Display" w:hAnsi="Playfair Display"/>
          <w:sz w:val="20"/>
        </w:rPr>
        <w:t>vonatkozó előírásait, különösen a 4. Felsőoktatási szakképzés és a szakképzésen szerezhető szakképzettség felsőoktatási képesítési jegyzékbe történő felvételének kezdeményezése fejezet alábbi pontját:</w:t>
      </w:r>
    </w:p>
    <w:p w14:paraId="5FA782C6" w14:textId="77777777" w:rsidR="00A5574E" w:rsidRPr="0082196B" w:rsidRDefault="00A5574E" w:rsidP="00A5574E">
      <w:pPr>
        <w:spacing w:before="61"/>
        <w:ind w:left="28"/>
        <w:jc w:val="both"/>
        <w:rPr>
          <w:rFonts w:ascii="Playfair Display" w:hAnsi="Playfair Display"/>
          <w:sz w:val="20"/>
          <w:szCs w:val="20"/>
        </w:rPr>
      </w:pPr>
      <w:r w:rsidRPr="000638C7">
        <w:rPr>
          <w:rFonts w:ascii="Playfair Display" w:hAnsi="Playfair Display"/>
          <w:b/>
          <w:sz w:val="20"/>
          <w:szCs w:val="20"/>
        </w:rPr>
        <w:t>5. § (1)</w:t>
      </w:r>
      <w:r w:rsidRPr="000638C7">
        <w:rPr>
          <w:rFonts w:ascii="Playfair Display" w:hAnsi="Playfair Display"/>
          <w:sz w:val="20"/>
          <w:szCs w:val="20"/>
        </w:rPr>
        <w:t xml:space="preserve"> A </w:t>
      </w:r>
      <w:r w:rsidRPr="0082196B">
        <w:rPr>
          <w:rFonts w:ascii="Playfair Display" w:hAnsi="Playfair Display"/>
          <w:sz w:val="20"/>
          <w:szCs w:val="20"/>
        </w:rPr>
        <w:t>Magyar Felsőoktatási Akkreditációs Bizottság véleményt nyilvánít arról, hogy</w:t>
      </w:r>
    </w:p>
    <w:p w14:paraId="3850D5B9" w14:textId="77777777" w:rsidR="00A5574E" w:rsidRPr="0082196B" w:rsidRDefault="00A5574E" w:rsidP="00A5574E">
      <w:pPr>
        <w:numPr>
          <w:ilvl w:val="0"/>
          <w:numId w:val="10"/>
        </w:numPr>
        <w:tabs>
          <w:tab w:val="left" w:pos="267"/>
        </w:tabs>
        <w:spacing w:before="54"/>
        <w:ind w:firstLine="0"/>
        <w:jc w:val="both"/>
        <w:rPr>
          <w:rFonts w:ascii="Playfair Display" w:hAnsi="Playfair Display"/>
          <w:sz w:val="20"/>
          <w:szCs w:val="20"/>
        </w:rPr>
      </w:pPr>
      <w:r w:rsidRPr="0082196B">
        <w:rPr>
          <w:rFonts w:ascii="Playfair Display" w:hAnsi="Playfair Display"/>
          <w:sz w:val="20"/>
          <w:szCs w:val="20"/>
        </w:rPr>
        <w:t>a létesítési dokumentum szakmai véleményeire is figyelemmel</w:t>
      </w:r>
      <w:r>
        <w:rPr>
          <w:rStyle w:val="Lbjegyzet-hivatkozs"/>
          <w:rFonts w:ascii="Playfair Display" w:hAnsi="Playfair Display"/>
          <w:sz w:val="20"/>
          <w:szCs w:val="20"/>
        </w:rPr>
        <w:footnoteReference w:id="1"/>
      </w:r>
      <w:r w:rsidRPr="0082196B">
        <w:rPr>
          <w:rFonts w:ascii="Playfair Display" w:hAnsi="Playfair Display"/>
          <w:sz w:val="20"/>
          <w:szCs w:val="20"/>
        </w:rPr>
        <w:t>, indokolt-e a szak</w:t>
      </w:r>
      <w:r w:rsidRPr="0082196B">
        <w:rPr>
          <w:rFonts w:ascii="Playfair Display" w:hAnsi="Playfair Display"/>
          <w:spacing w:val="-12"/>
          <w:sz w:val="20"/>
          <w:szCs w:val="20"/>
        </w:rPr>
        <w:t xml:space="preserve"> </w:t>
      </w:r>
      <w:r w:rsidRPr="0082196B">
        <w:rPr>
          <w:rFonts w:ascii="Playfair Display" w:hAnsi="Playfair Display"/>
          <w:sz w:val="20"/>
          <w:szCs w:val="20"/>
        </w:rPr>
        <w:t>létesítése,</w:t>
      </w:r>
    </w:p>
    <w:p w14:paraId="475D37C3" w14:textId="1023F459" w:rsidR="00F1788A" w:rsidRPr="00F3307A" w:rsidRDefault="00A5574E" w:rsidP="00A5574E">
      <w:pPr>
        <w:spacing w:after="120"/>
        <w:jc w:val="both"/>
        <w:rPr>
          <w:rFonts w:ascii="Playfair Display" w:hAnsi="Playfair Display"/>
        </w:rPr>
        <w:sectPr w:rsidR="00F1788A" w:rsidRPr="00F3307A" w:rsidSect="00177A9F">
          <w:headerReference w:type="default" r:id="rId11"/>
          <w:type w:val="continuous"/>
          <w:pgSz w:w="11910" w:h="16840"/>
          <w:pgMar w:top="1403" w:right="1040" w:bottom="280" w:left="1140" w:header="708" w:footer="708" w:gutter="0"/>
          <w:cols w:space="708"/>
        </w:sectPr>
      </w:pPr>
      <w:r w:rsidRPr="0082196B">
        <w:rPr>
          <w:rFonts w:ascii="Playfair Display" w:hAnsi="Playfair Display"/>
          <w:sz w:val="20"/>
          <w:szCs w:val="20"/>
        </w:rPr>
        <w:t>a képzési és kimeneti követelmény alapján, a szakon a szakképzettség megszerzésével szerezhető tudás követelményei - a tudás, a képesség, attitűd, illetve az autonómia és felelősség jellemzői - megfelelnek-e az MKKR adott besorolási szintjén meghatározott minimális követelményeknek, és ez alapján a szakra meghatározott képzési és kimeneti követelmények - az oklevelek hazai és külföldi megfeleltethetőségét is figyelembe véve - várhatóan megfelelő színvonalú kibocsátást</w:t>
      </w:r>
      <w:r w:rsidRPr="0082196B">
        <w:rPr>
          <w:rFonts w:ascii="Playfair Display" w:hAnsi="Playfair Display"/>
          <w:spacing w:val="-2"/>
          <w:sz w:val="20"/>
          <w:szCs w:val="20"/>
        </w:rPr>
        <w:t xml:space="preserve"> </w:t>
      </w:r>
      <w:r w:rsidRPr="0082196B">
        <w:rPr>
          <w:rFonts w:ascii="Playfair Display" w:hAnsi="Playfair Display"/>
          <w:sz w:val="20"/>
          <w:szCs w:val="20"/>
        </w:rPr>
        <w:t>biztosítanak-e</w:t>
      </w:r>
    </w:p>
    <w:p w14:paraId="475D37C4" w14:textId="77777777" w:rsidR="00F1788A" w:rsidRDefault="00F1788A">
      <w:pPr>
        <w:pStyle w:val="Szvegtrzs"/>
        <w:rPr>
          <w:b/>
          <w:sz w:val="20"/>
        </w:rPr>
      </w:pPr>
    </w:p>
    <w:p w14:paraId="475D37C5" w14:textId="77777777" w:rsidR="00F1788A" w:rsidRDefault="00F1788A">
      <w:pPr>
        <w:pStyle w:val="Szvegtrzs"/>
        <w:spacing w:before="10"/>
        <w:rPr>
          <w:b/>
          <w:sz w:val="25"/>
        </w:rPr>
      </w:pPr>
    </w:p>
    <w:p w14:paraId="475D37C6" w14:textId="77777777" w:rsidR="00F1788A" w:rsidRPr="00F3307A" w:rsidRDefault="00F3307A" w:rsidP="00F3307A">
      <w:pPr>
        <w:pStyle w:val="Szvegtrzs"/>
        <w:jc w:val="center"/>
        <w:rPr>
          <w:rFonts w:ascii="Playfair Display" w:hAnsi="Playfair Display"/>
          <w:b/>
        </w:rPr>
      </w:pPr>
      <w:r>
        <w:rPr>
          <w:rFonts w:ascii="Playfair Display" w:hAnsi="Playfair Display"/>
          <w:b/>
        </w:rPr>
        <w:t>A FELSŐOKTATÁSI SZAKKÉPZÉS</w:t>
      </w:r>
      <w:r>
        <w:rPr>
          <w:rStyle w:val="Lbjegyzet-hivatkozs"/>
          <w:rFonts w:ascii="Playfair Display" w:hAnsi="Playfair Display"/>
          <w:b/>
        </w:rPr>
        <w:footnoteReference w:id="2"/>
      </w:r>
      <w:r w:rsidRPr="00F3307A">
        <w:rPr>
          <w:rFonts w:ascii="Playfair Display" w:hAnsi="Playfair Display"/>
          <w:b/>
        </w:rPr>
        <w:t xml:space="preserve"> tervezett KÉPZÉSI ÉS KIMENETI KÖVETELMÉNYEI</w:t>
      </w:r>
    </w:p>
    <w:p w14:paraId="475D37C7" w14:textId="77777777" w:rsidR="00F1788A" w:rsidRDefault="00F1788A">
      <w:pPr>
        <w:pStyle w:val="Szvegtrzs"/>
        <w:spacing w:before="6"/>
        <w:rPr>
          <w:b/>
        </w:rPr>
      </w:pPr>
    </w:p>
    <w:p w14:paraId="475D37C8" w14:textId="77777777" w:rsidR="00F1788A" w:rsidRPr="00F3307A" w:rsidRDefault="00701797" w:rsidP="00F3307A">
      <w:pPr>
        <w:pStyle w:val="Listaszerbekezds"/>
        <w:numPr>
          <w:ilvl w:val="0"/>
          <w:numId w:val="8"/>
        </w:numPr>
        <w:tabs>
          <w:tab w:val="left" w:pos="675"/>
        </w:tabs>
        <w:spacing w:before="0" w:after="120"/>
        <w:ind w:hanging="286"/>
        <w:rPr>
          <w:rFonts w:ascii="Playfair Display" w:hAnsi="Playfair Display"/>
          <w:b/>
          <w:sz w:val="20"/>
          <w:szCs w:val="20"/>
        </w:rPr>
      </w:pPr>
      <w:r w:rsidRPr="00F3307A">
        <w:rPr>
          <w:rFonts w:ascii="Playfair Display" w:hAnsi="Playfair Display"/>
          <w:b/>
          <w:sz w:val="20"/>
          <w:szCs w:val="20"/>
        </w:rPr>
        <w:t>A szakképzettség MKKR szintbesorolásának</w:t>
      </w:r>
      <w:r w:rsidRPr="00F3307A">
        <w:rPr>
          <w:rFonts w:ascii="Playfair Display" w:hAnsi="Playfair Display"/>
          <w:b/>
          <w:spacing w:val="-12"/>
          <w:sz w:val="20"/>
          <w:szCs w:val="20"/>
        </w:rPr>
        <w:t xml:space="preserve"> </w:t>
      </w:r>
      <w:r w:rsidRPr="00F3307A">
        <w:rPr>
          <w:rFonts w:ascii="Playfair Display" w:hAnsi="Playfair Display"/>
          <w:b/>
          <w:sz w:val="20"/>
          <w:szCs w:val="20"/>
        </w:rPr>
        <w:t>megfelelősége</w:t>
      </w:r>
      <w:r w:rsidR="00F3307A">
        <w:rPr>
          <w:rStyle w:val="Lbjegyzet-hivatkozs"/>
          <w:rFonts w:ascii="Playfair Display" w:hAnsi="Playfair Display"/>
          <w:b/>
          <w:sz w:val="20"/>
          <w:szCs w:val="20"/>
        </w:rPr>
        <w:footnoteReference w:id="3"/>
      </w:r>
    </w:p>
    <w:p w14:paraId="475D37C9" w14:textId="77777777" w:rsidR="00F1788A" w:rsidRPr="00F3307A" w:rsidRDefault="00701797" w:rsidP="00F3307A">
      <w:pPr>
        <w:spacing w:after="120"/>
        <w:ind w:left="677" w:right="198"/>
        <w:jc w:val="both"/>
        <w:rPr>
          <w:rFonts w:ascii="Playfair Display" w:hAnsi="Playfair Display"/>
          <w:sz w:val="20"/>
          <w:szCs w:val="20"/>
        </w:rPr>
      </w:pPr>
      <w:r w:rsidRPr="00F3307A">
        <w:rPr>
          <w:rFonts w:ascii="Playfair Display" w:hAnsi="Playfair Display"/>
          <w:sz w:val="20"/>
          <w:szCs w:val="20"/>
        </w:rPr>
        <w:t>A létesíteni tervezett képzésben megszerezhető szakképzettség, képesítés MKKR szerinti szintbesorolása legyen szakmailag helyes, megalapozott, figyelemmel legyen a különböző végzettségi szintekre, a munkakör betöltésére, foglalkozás, tevékenység gyakorlására jogosító szakképesítések és szakképzettségek szerkezetére.</w:t>
      </w:r>
    </w:p>
    <w:p w14:paraId="475D37CA" w14:textId="77777777" w:rsidR="00F1788A" w:rsidRPr="00F3307A" w:rsidRDefault="00701797" w:rsidP="00F3307A">
      <w:pPr>
        <w:pStyle w:val="Listaszerbekezds"/>
        <w:numPr>
          <w:ilvl w:val="0"/>
          <w:numId w:val="8"/>
        </w:numPr>
        <w:tabs>
          <w:tab w:val="left" w:pos="675"/>
        </w:tabs>
        <w:spacing w:before="0" w:after="120"/>
        <w:ind w:left="674" w:hanging="280"/>
        <w:rPr>
          <w:rFonts w:ascii="Playfair Display" w:hAnsi="Playfair Display"/>
          <w:sz w:val="20"/>
          <w:szCs w:val="20"/>
        </w:rPr>
      </w:pPr>
      <w:r w:rsidRPr="00F3307A">
        <w:rPr>
          <w:rFonts w:ascii="Playfair Display" w:hAnsi="Playfair Display"/>
          <w:sz w:val="20"/>
          <w:szCs w:val="20"/>
        </w:rPr>
        <w:t xml:space="preserve">A szakképzés és a megszerezhető képesítés(ek) </w:t>
      </w:r>
      <w:r w:rsidRPr="00F3307A">
        <w:rPr>
          <w:rFonts w:ascii="Playfair Display" w:hAnsi="Playfair Display"/>
          <w:b/>
          <w:sz w:val="20"/>
          <w:szCs w:val="20"/>
        </w:rPr>
        <w:t>megnevezés</w:t>
      </w:r>
      <w:r w:rsidRPr="00F3307A">
        <w:rPr>
          <w:rFonts w:ascii="Playfair Display" w:hAnsi="Playfair Display"/>
          <w:sz w:val="20"/>
          <w:szCs w:val="20"/>
        </w:rPr>
        <w:t>e legyen</w:t>
      </w:r>
      <w:r w:rsidRPr="00F3307A">
        <w:rPr>
          <w:rFonts w:ascii="Playfair Display" w:hAnsi="Playfair Display"/>
          <w:spacing w:val="-1"/>
          <w:sz w:val="20"/>
          <w:szCs w:val="20"/>
        </w:rPr>
        <w:t xml:space="preserve"> </w:t>
      </w:r>
      <w:r w:rsidRPr="00F3307A">
        <w:rPr>
          <w:rFonts w:ascii="Playfair Display" w:hAnsi="Playfair Display"/>
          <w:sz w:val="20"/>
          <w:szCs w:val="20"/>
        </w:rPr>
        <w:t>összhangban.</w:t>
      </w:r>
    </w:p>
    <w:p w14:paraId="475D37CB" w14:textId="77777777" w:rsidR="00F1788A" w:rsidRPr="00F3307A" w:rsidRDefault="00701797" w:rsidP="00F3307A">
      <w:pPr>
        <w:pStyle w:val="Listaszerbekezds"/>
        <w:numPr>
          <w:ilvl w:val="0"/>
          <w:numId w:val="8"/>
        </w:numPr>
        <w:tabs>
          <w:tab w:val="left" w:pos="675"/>
        </w:tabs>
        <w:spacing w:before="0" w:after="120"/>
        <w:ind w:right="198" w:hanging="283"/>
        <w:jc w:val="both"/>
        <w:rPr>
          <w:rFonts w:ascii="Playfair Display" w:hAnsi="Playfair Display"/>
          <w:b/>
          <w:sz w:val="20"/>
          <w:szCs w:val="20"/>
        </w:rPr>
      </w:pPr>
      <w:r w:rsidRPr="00F3307A">
        <w:rPr>
          <w:rFonts w:ascii="Playfair Display" w:hAnsi="Playfair Display"/>
          <w:sz w:val="20"/>
          <w:szCs w:val="20"/>
        </w:rPr>
        <w:t xml:space="preserve">A megszerezhető </w:t>
      </w:r>
      <w:r w:rsidRPr="00F3307A">
        <w:rPr>
          <w:rFonts w:ascii="Playfair Display" w:hAnsi="Playfair Display"/>
          <w:b/>
          <w:sz w:val="20"/>
          <w:szCs w:val="20"/>
        </w:rPr>
        <w:t xml:space="preserve">szakképzettséget, képesítést </w:t>
      </w:r>
      <w:r w:rsidRPr="00F3307A">
        <w:rPr>
          <w:rFonts w:ascii="Playfair Display" w:hAnsi="Playfair Display"/>
          <w:sz w:val="20"/>
          <w:szCs w:val="20"/>
        </w:rPr>
        <w:t xml:space="preserve">(ha választhatók szakirányok, úgy azokét is) az előírt </w:t>
      </w:r>
      <w:r w:rsidRPr="00F3307A">
        <w:rPr>
          <w:rFonts w:ascii="Playfair Display" w:hAnsi="Playfair Display"/>
          <w:b/>
          <w:sz w:val="20"/>
          <w:szCs w:val="20"/>
        </w:rPr>
        <w:t xml:space="preserve">kompetencia-elemek </w:t>
      </w:r>
      <w:r w:rsidRPr="00F3307A">
        <w:rPr>
          <w:rFonts w:ascii="Playfair Display" w:hAnsi="Playfair Display"/>
          <w:sz w:val="20"/>
          <w:szCs w:val="20"/>
        </w:rPr>
        <w:t xml:space="preserve">(tudás, képesség, attitűd, autonómia és felelősség) az MKKR </w:t>
      </w:r>
      <w:r w:rsidRPr="00F3307A">
        <w:rPr>
          <w:rFonts w:ascii="Playfair Display" w:hAnsi="Playfair Display"/>
          <w:b/>
          <w:sz w:val="20"/>
          <w:szCs w:val="20"/>
        </w:rPr>
        <w:t xml:space="preserve">5. szintjének </w:t>
      </w:r>
      <w:r w:rsidRPr="00F3307A">
        <w:rPr>
          <w:rFonts w:ascii="Playfair Display" w:hAnsi="Playfair Display"/>
          <w:sz w:val="20"/>
          <w:szCs w:val="20"/>
        </w:rPr>
        <w:t xml:space="preserve">és </w:t>
      </w:r>
      <w:r w:rsidRPr="00F3307A">
        <w:rPr>
          <w:rFonts w:ascii="Playfair Display" w:hAnsi="Playfair Display"/>
          <w:b/>
          <w:sz w:val="20"/>
          <w:szCs w:val="20"/>
        </w:rPr>
        <w:t>a képzés céljának megfelelően írják</w:t>
      </w:r>
      <w:r w:rsidRPr="00F3307A">
        <w:rPr>
          <w:rFonts w:ascii="Playfair Display" w:hAnsi="Playfair Display"/>
          <w:b/>
          <w:spacing w:val="-6"/>
          <w:sz w:val="20"/>
          <w:szCs w:val="20"/>
        </w:rPr>
        <w:t xml:space="preserve"> </w:t>
      </w:r>
      <w:r w:rsidRPr="00F3307A">
        <w:rPr>
          <w:rFonts w:ascii="Playfair Display" w:hAnsi="Playfair Display"/>
          <w:b/>
          <w:sz w:val="20"/>
          <w:szCs w:val="20"/>
        </w:rPr>
        <w:t>le.</w:t>
      </w:r>
    </w:p>
    <w:p w14:paraId="475D37CC" w14:textId="77777777" w:rsidR="00F1788A" w:rsidRPr="00F3307A" w:rsidRDefault="00701797" w:rsidP="00F3307A">
      <w:pPr>
        <w:pStyle w:val="Listaszerbekezds"/>
        <w:numPr>
          <w:ilvl w:val="0"/>
          <w:numId w:val="8"/>
        </w:numPr>
        <w:tabs>
          <w:tab w:val="left" w:pos="675"/>
        </w:tabs>
        <w:spacing w:before="0" w:after="120"/>
        <w:ind w:right="200" w:hanging="283"/>
        <w:jc w:val="both"/>
        <w:rPr>
          <w:rFonts w:ascii="Playfair Display" w:hAnsi="Playfair Display"/>
          <w:b/>
          <w:sz w:val="20"/>
          <w:szCs w:val="20"/>
        </w:rPr>
      </w:pPr>
      <w:r w:rsidRPr="00F3307A">
        <w:rPr>
          <w:rFonts w:ascii="Playfair Display" w:hAnsi="Playfair Display"/>
          <w:b/>
          <w:sz w:val="20"/>
          <w:szCs w:val="20"/>
        </w:rPr>
        <w:t xml:space="preserve">A meghatározó modulok </w:t>
      </w:r>
      <w:r w:rsidRPr="00F3307A">
        <w:rPr>
          <w:rFonts w:ascii="Playfair Display" w:hAnsi="Playfair Display"/>
          <w:sz w:val="20"/>
          <w:szCs w:val="20"/>
        </w:rPr>
        <w:t xml:space="preserve">(a képzési terület szerinti közös modul és a szakképzési modul), </w:t>
      </w:r>
      <w:r w:rsidRPr="00F3307A">
        <w:rPr>
          <w:rFonts w:ascii="Playfair Display" w:hAnsi="Playfair Display"/>
          <w:b/>
          <w:sz w:val="20"/>
          <w:szCs w:val="20"/>
        </w:rPr>
        <w:t xml:space="preserve">azok kreditarányai, szakmai tartalma, </w:t>
      </w:r>
      <w:r w:rsidRPr="00F3307A">
        <w:rPr>
          <w:rFonts w:ascii="Playfair Display" w:hAnsi="Playfair Display"/>
          <w:sz w:val="20"/>
          <w:szCs w:val="20"/>
        </w:rPr>
        <w:t xml:space="preserve">valamint a szakképzés </w:t>
      </w:r>
      <w:r w:rsidRPr="00F3307A">
        <w:rPr>
          <w:rFonts w:ascii="Playfair Display" w:hAnsi="Playfair Display"/>
          <w:b/>
          <w:sz w:val="20"/>
          <w:szCs w:val="20"/>
        </w:rPr>
        <w:t>ö</w:t>
      </w:r>
      <w:r w:rsidR="00F3307A">
        <w:rPr>
          <w:rFonts w:ascii="Playfair Display" w:hAnsi="Playfair Display"/>
          <w:b/>
          <w:sz w:val="20"/>
          <w:szCs w:val="20"/>
        </w:rPr>
        <w:t xml:space="preserve">sszefüggő szakmai gyakorlatának </w:t>
      </w:r>
      <w:r w:rsidRPr="00F3307A">
        <w:rPr>
          <w:rFonts w:ascii="Playfair Display" w:hAnsi="Playfair Display"/>
          <w:sz w:val="20"/>
          <w:szCs w:val="20"/>
        </w:rPr>
        <w:t xml:space="preserve">követelményei a </w:t>
      </w:r>
      <w:r w:rsidRPr="00F3307A">
        <w:rPr>
          <w:rFonts w:ascii="Playfair Display" w:hAnsi="Playfair Display"/>
          <w:b/>
          <w:sz w:val="20"/>
          <w:szCs w:val="20"/>
        </w:rPr>
        <w:t>képzés céljával, a szak jelzett orientációjával</w:t>
      </w:r>
      <w:r w:rsidR="00F3307A">
        <w:rPr>
          <w:rStyle w:val="Lbjegyzet-hivatkozs"/>
          <w:rFonts w:ascii="Playfair Display" w:hAnsi="Playfair Display"/>
          <w:b/>
          <w:sz w:val="20"/>
          <w:szCs w:val="20"/>
        </w:rPr>
        <w:footnoteReference w:id="4"/>
      </w:r>
      <w:r w:rsidRPr="00F3307A">
        <w:rPr>
          <w:rFonts w:ascii="Playfair Display" w:hAnsi="Playfair Display"/>
          <w:b/>
          <w:position w:val="8"/>
          <w:sz w:val="20"/>
          <w:szCs w:val="20"/>
        </w:rPr>
        <w:t xml:space="preserve"> </w:t>
      </w:r>
      <w:r w:rsidRPr="00F3307A">
        <w:rPr>
          <w:rFonts w:ascii="Playfair Display" w:hAnsi="Playfair Display"/>
          <w:b/>
          <w:sz w:val="20"/>
          <w:szCs w:val="20"/>
        </w:rPr>
        <w:t>és az előírt kompetencia elemekkel összhangban</w:t>
      </w:r>
      <w:r w:rsidRPr="00F3307A">
        <w:rPr>
          <w:rFonts w:ascii="Playfair Display" w:hAnsi="Playfair Display"/>
          <w:b/>
          <w:spacing w:val="-1"/>
          <w:sz w:val="20"/>
          <w:szCs w:val="20"/>
        </w:rPr>
        <w:t xml:space="preserve"> </w:t>
      </w:r>
      <w:r w:rsidRPr="00F3307A">
        <w:rPr>
          <w:rFonts w:ascii="Playfair Display" w:hAnsi="Playfair Display"/>
          <w:b/>
          <w:sz w:val="20"/>
          <w:szCs w:val="20"/>
        </w:rPr>
        <w:t>legyenek.</w:t>
      </w:r>
    </w:p>
    <w:p w14:paraId="475D37CD" w14:textId="77777777" w:rsidR="00F1788A" w:rsidRPr="00F3307A" w:rsidRDefault="00701797" w:rsidP="00F3307A">
      <w:pPr>
        <w:pStyle w:val="Listaszerbekezds"/>
        <w:numPr>
          <w:ilvl w:val="0"/>
          <w:numId w:val="8"/>
        </w:numPr>
        <w:tabs>
          <w:tab w:val="left" w:pos="675"/>
        </w:tabs>
        <w:spacing w:before="0" w:after="120"/>
        <w:ind w:left="674" w:hanging="280"/>
        <w:rPr>
          <w:rFonts w:ascii="Playfair Display" w:hAnsi="Playfair Display"/>
          <w:b/>
          <w:sz w:val="20"/>
          <w:szCs w:val="20"/>
        </w:rPr>
      </w:pPr>
      <w:r w:rsidRPr="00F3307A">
        <w:rPr>
          <w:rFonts w:ascii="Playfair Display" w:hAnsi="Playfair Display"/>
          <w:sz w:val="20"/>
          <w:szCs w:val="20"/>
        </w:rPr>
        <w:t xml:space="preserve">A szakképzés a jelzett </w:t>
      </w:r>
      <w:r w:rsidRPr="00F3307A">
        <w:rPr>
          <w:rFonts w:ascii="Playfair Display" w:hAnsi="Playfair Display"/>
          <w:b/>
          <w:sz w:val="20"/>
          <w:szCs w:val="20"/>
        </w:rPr>
        <w:t>képzési terület</w:t>
      </w:r>
      <w:r w:rsidRPr="00F3307A">
        <w:rPr>
          <w:rFonts w:ascii="Playfair Display" w:hAnsi="Playfair Display"/>
          <w:sz w:val="20"/>
          <w:szCs w:val="20"/>
        </w:rPr>
        <w:t>be diszciplinárisan, szakmai tartalmát illetően</w:t>
      </w:r>
      <w:r w:rsidRPr="00F3307A">
        <w:rPr>
          <w:rFonts w:ascii="Playfair Display" w:hAnsi="Playfair Display"/>
          <w:spacing w:val="-14"/>
          <w:sz w:val="20"/>
          <w:szCs w:val="20"/>
        </w:rPr>
        <w:t xml:space="preserve"> </w:t>
      </w:r>
      <w:r w:rsidRPr="00F3307A">
        <w:rPr>
          <w:rFonts w:ascii="Playfair Display" w:hAnsi="Playfair Display"/>
          <w:b/>
          <w:sz w:val="20"/>
          <w:szCs w:val="20"/>
        </w:rPr>
        <w:t>illeszkedjék.</w:t>
      </w:r>
    </w:p>
    <w:p w14:paraId="475D37CE" w14:textId="77777777" w:rsidR="00F1788A" w:rsidRDefault="00F1788A">
      <w:pPr>
        <w:pStyle w:val="Szvegtrzs"/>
        <w:rPr>
          <w:b/>
          <w:sz w:val="20"/>
        </w:rPr>
      </w:pPr>
    </w:p>
    <w:p w14:paraId="475D37CF" w14:textId="77777777" w:rsidR="00F1788A" w:rsidRDefault="003A2BC2">
      <w:pPr>
        <w:pStyle w:val="Szvegtrzs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75D383B" wp14:editId="475D383C">
                <wp:simplePos x="0" y="0"/>
                <wp:positionH relativeFrom="page">
                  <wp:posOffset>1270</wp:posOffset>
                </wp:positionH>
                <wp:positionV relativeFrom="paragraph">
                  <wp:posOffset>180340</wp:posOffset>
                </wp:positionV>
                <wp:extent cx="0" cy="853440"/>
                <wp:effectExtent l="0" t="0" r="19050" b="4191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853440"/>
                          <a:chOff x="1419" y="-185"/>
                          <a:chExt cx="0" cy="1344"/>
                        </a:xfrm>
                      </wpg:grpSpPr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19" y="-185"/>
                            <a:ext cx="0" cy="1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9" y="12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9" y="555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9" y="797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6FCCB" id="Group 9" o:spid="_x0000_s1026" style="position:absolute;margin-left:.1pt;margin-top:14.2pt;width:0;height:67.2pt;z-index:251655168;mso-position-horizontal-relative:page" coordorigin="1419,-185" coordsize="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">
                <v:line id="Line 14" o:spid="_x0000_s1027" style="position:absolute;visibility:visible;mso-wrap-style:square" from="1419,-185" to="1419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13" o:spid="_x0000_s1028" style="position:absolute;visibility:visible;mso-wrap-style:square" from="1419,12" to="1419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11" o:spid="_x0000_s1029" style="position:absolute;visibility:visible;mso-wrap-style:square" from="1419,555" to="1419,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10" o:spid="_x0000_s1030" style="position:absolute;visibility:visible;mso-wrap-style:square" from="1419,797" to="1419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</w:p>
    <w:p w14:paraId="475D37D0" w14:textId="77777777" w:rsidR="00F1788A" w:rsidRDefault="00F1788A">
      <w:pPr>
        <w:pStyle w:val="Szvegtrzs"/>
        <w:spacing w:before="9"/>
        <w:rPr>
          <w:b/>
          <w:sz w:val="20"/>
        </w:rPr>
      </w:pPr>
    </w:p>
    <w:p w14:paraId="475D37D1" w14:textId="77777777" w:rsidR="00F1788A" w:rsidRPr="000407B2" w:rsidRDefault="00701797" w:rsidP="003A2BC2">
      <w:pPr>
        <w:spacing w:before="1"/>
        <w:rPr>
          <w:rFonts w:ascii="Playfair Display" w:hAnsi="Playfair Display"/>
          <w:sz w:val="20"/>
          <w:szCs w:val="20"/>
        </w:rPr>
      </w:pPr>
      <w:r w:rsidRPr="000407B2">
        <w:rPr>
          <w:rFonts w:ascii="Playfair Display" w:hAnsi="Playfair Display"/>
          <w:b/>
          <w:sz w:val="20"/>
          <w:szCs w:val="20"/>
        </w:rPr>
        <w:t xml:space="preserve">Összegző elvárás </w:t>
      </w:r>
      <w:r w:rsidRPr="000407B2">
        <w:rPr>
          <w:rFonts w:ascii="Playfair Display" w:hAnsi="Playfair Display"/>
          <w:sz w:val="20"/>
          <w:szCs w:val="20"/>
        </w:rPr>
        <w:t>a MAB szakértői vélemény tartalmára a jogszabályban</w:t>
      </w:r>
      <w:r w:rsidR="003A2BC2" w:rsidRPr="000407B2">
        <w:rPr>
          <w:rStyle w:val="Lbjegyzet-hivatkozs"/>
          <w:rFonts w:ascii="Playfair Display" w:hAnsi="Playfair Display"/>
          <w:sz w:val="20"/>
          <w:szCs w:val="20"/>
        </w:rPr>
        <w:footnoteReference w:id="5"/>
      </w:r>
      <w:r w:rsidRPr="000407B2">
        <w:rPr>
          <w:rFonts w:ascii="Playfair Display" w:hAnsi="Playfair Display"/>
          <w:b/>
          <w:position w:val="7"/>
          <w:sz w:val="12"/>
          <w:szCs w:val="20"/>
        </w:rPr>
        <w:t xml:space="preserve"> </w:t>
      </w:r>
      <w:r w:rsidRPr="000407B2">
        <w:rPr>
          <w:rFonts w:ascii="Playfair Display" w:hAnsi="Playfair Display"/>
          <w:sz w:val="20"/>
          <w:szCs w:val="20"/>
        </w:rPr>
        <w:t>előírtak értelmében:</w:t>
      </w:r>
    </w:p>
    <w:p w14:paraId="475D37D2" w14:textId="77777777" w:rsidR="00F1788A" w:rsidRPr="000407B2" w:rsidRDefault="00701797" w:rsidP="003A2BC2">
      <w:pPr>
        <w:spacing w:before="61" w:line="242" w:lineRule="auto"/>
        <w:ind w:right="255"/>
        <w:jc w:val="both"/>
        <w:rPr>
          <w:rFonts w:ascii="Playfair Display" w:hAnsi="Playfair Display"/>
          <w:sz w:val="20"/>
          <w:szCs w:val="20"/>
        </w:rPr>
      </w:pPr>
      <w:r w:rsidRPr="000407B2">
        <w:rPr>
          <w:rFonts w:ascii="Playfair Display" w:hAnsi="Playfair Display"/>
          <w:sz w:val="20"/>
          <w:szCs w:val="20"/>
        </w:rPr>
        <w:t>A szakképzettség, felsőoktatási képesítés megszerzésével szerezhető szakmai tudás-tartalmak – a tudás, a képesség, attitűd, illetve az autonómia és felelősség jellemzői – feleljenek meg az MKKR 5. besorolási szintjén meghatározott minimális követelményeknek.</w:t>
      </w:r>
    </w:p>
    <w:p w14:paraId="475D37D3" w14:textId="77777777" w:rsidR="00F1788A" w:rsidRPr="003A2BC2" w:rsidRDefault="00F1788A" w:rsidP="003A2BC2">
      <w:pPr>
        <w:pStyle w:val="Szvegtrzs"/>
        <w:rPr>
          <w:sz w:val="20"/>
        </w:rPr>
      </w:pPr>
    </w:p>
    <w:p w14:paraId="475D37D4" w14:textId="77777777" w:rsidR="00F1788A" w:rsidRDefault="00F1788A">
      <w:pPr>
        <w:pStyle w:val="Szvegtrzs"/>
        <w:rPr>
          <w:b/>
          <w:sz w:val="20"/>
        </w:rPr>
      </w:pPr>
    </w:p>
    <w:p w14:paraId="475D37D5" w14:textId="77777777" w:rsidR="00F1788A" w:rsidRDefault="00F1788A">
      <w:pPr>
        <w:pStyle w:val="Szvegtrzs"/>
        <w:rPr>
          <w:b/>
          <w:sz w:val="20"/>
        </w:rPr>
      </w:pPr>
    </w:p>
    <w:p w14:paraId="475D37D6" w14:textId="77777777" w:rsidR="00F1788A" w:rsidRDefault="00F1788A">
      <w:pPr>
        <w:pStyle w:val="Szvegtrzs"/>
        <w:rPr>
          <w:b/>
          <w:sz w:val="20"/>
        </w:rPr>
      </w:pPr>
    </w:p>
    <w:p w14:paraId="475D37D7" w14:textId="77777777" w:rsidR="00F1788A" w:rsidRDefault="00F1788A">
      <w:pPr>
        <w:pStyle w:val="Szvegtrzs"/>
        <w:rPr>
          <w:b/>
          <w:sz w:val="20"/>
        </w:rPr>
      </w:pPr>
    </w:p>
    <w:p w14:paraId="475D37D8" w14:textId="77777777" w:rsidR="00F1788A" w:rsidRDefault="00F1788A">
      <w:pPr>
        <w:pStyle w:val="Szvegtrzs"/>
        <w:rPr>
          <w:b/>
          <w:sz w:val="20"/>
        </w:rPr>
      </w:pPr>
    </w:p>
    <w:p w14:paraId="475D37D9" w14:textId="77777777" w:rsidR="00F1788A" w:rsidRDefault="00F1788A">
      <w:pPr>
        <w:pStyle w:val="Szvegtrzs"/>
        <w:rPr>
          <w:b/>
          <w:sz w:val="20"/>
        </w:rPr>
      </w:pPr>
    </w:p>
    <w:p w14:paraId="475D37DA" w14:textId="77777777" w:rsidR="00F1788A" w:rsidRDefault="00F1788A">
      <w:pPr>
        <w:pStyle w:val="Szvegtrzs"/>
        <w:rPr>
          <w:b/>
          <w:sz w:val="20"/>
        </w:rPr>
      </w:pPr>
    </w:p>
    <w:p w14:paraId="475D37DB" w14:textId="77777777" w:rsidR="00F1788A" w:rsidRDefault="00F1788A">
      <w:pPr>
        <w:pStyle w:val="Szvegtrzs"/>
        <w:rPr>
          <w:b/>
          <w:sz w:val="20"/>
        </w:rPr>
      </w:pPr>
    </w:p>
    <w:p w14:paraId="475D37DC" w14:textId="77777777" w:rsidR="00F1788A" w:rsidRDefault="00F1788A">
      <w:pPr>
        <w:pStyle w:val="Szvegtrzs"/>
        <w:rPr>
          <w:b/>
          <w:sz w:val="20"/>
        </w:rPr>
      </w:pPr>
    </w:p>
    <w:p w14:paraId="475D37DD" w14:textId="77777777" w:rsidR="00F1788A" w:rsidRDefault="00F1788A" w:rsidP="003A2BC2">
      <w:pPr>
        <w:pStyle w:val="Szvegtrzs"/>
        <w:spacing w:before="11"/>
        <w:rPr>
          <w:sz w:val="20"/>
        </w:rPr>
        <w:sectPr w:rsidR="00F1788A">
          <w:headerReference w:type="default" r:id="rId12"/>
          <w:footerReference w:type="default" r:id="rId13"/>
          <w:pgSz w:w="11910" w:h="16840"/>
          <w:pgMar w:top="900" w:right="1040" w:bottom="860" w:left="1140" w:header="624" w:footer="674" w:gutter="0"/>
          <w:pgNumType w:start="1"/>
          <w:cols w:space="708"/>
        </w:sectPr>
      </w:pPr>
    </w:p>
    <w:p w14:paraId="475D37DE" w14:textId="77777777" w:rsidR="00F1788A" w:rsidRDefault="00F1788A">
      <w:pPr>
        <w:pStyle w:val="Szvegtrzs"/>
        <w:spacing w:before="8"/>
        <w:rPr>
          <w:sz w:val="15"/>
        </w:rPr>
      </w:pPr>
    </w:p>
    <w:p w14:paraId="4C0BF334" w14:textId="77777777" w:rsidR="0039350C" w:rsidRDefault="0039350C" w:rsidP="003A2BC2">
      <w:pPr>
        <w:pStyle w:val="Cmsor1"/>
        <w:spacing w:before="90"/>
        <w:ind w:right="91" w:firstLine="33"/>
        <w:jc w:val="center"/>
        <w:rPr>
          <w:rFonts w:ascii="Playfair Display" w:hAnsi="Playfair Display"/>
          <w:sz w:val="22"/>
          <w:szCs w:val="20"/>
        </w:rPr>
      </w:pPr>
    </w:p>
    <w:p w14:paraId="475D37DF" w14:textId="4B566275" w:rsidR="00F1788A" w:rsidRPr="009148FE" w:rsidRDefault="00701797" w:rsidP="003A2BC2">
      <w:pPr>
        <w:pStyle w:val="Cmsor1"/>
        <w:spacing w:before="90"/>
        <w:ind w:right="91" w:firstLine="33"/>
        <w:jc w:val="center"/>
        <w:rPr>
          <w:rFonts w:ascii="Playfair Display" w:hAnsi="Playfair Display"/>
          <w:sz w:val="22"/>
          <w:szCs w:val="20"/>
        </w:rPr>
      </w:pPr>
      <w:r w:rsidRPr="003A2BC2">
        <w:rPr>
          <w:rFonts w:ascii="Playfair Display" w:hAnsi="Playfair Display"/>
          <w:sz w:val="22"/>
          <w:szCs w:val="20"/>
        </w:rPr>
        <w:t>M</w:t>
      </w:r>
      <w:r w:rsidR="003A2BC2" w:rsidRPr="003A2BC2">
        <w:rPr>
          <w:rFonts w:ascii="Playfair Display" w:hAnsi="Playfair Display"/>
          <w:sz w:val="22"/>
          <w:szCs w:val="20"/>
        </w:rPr>
        <w:t>ELLÉKLET</w:t>
      </w:r>
      <w:r w:rsidRPr="003A2BC2">
        <w:rPr>
          <w:rFonts w:ascii="Playfair Display" w:hAnsi="Playfair Display"/>
          <w:sz w:val="22"/>
          <w:szCs w:val="20"/>
        </w:rPr>
        <w:t xml:space="preserve">: bírálati segédlet a felsőoktatási szakképzés létesítésének véleményezéséhez, az </w:t>
      </w:r>
      <w:r w:rsidRPr="009148FE">
        <w:rPr>
          <w:rFonts w:ascii="Playfair Display" w:hAnsi="Playfair Display"/>
          <w:sz w:val="22"/>
          <w:szCs w:val="20"/>
        </w:rPr>
        <w:t>MKKR szintbesorolásának megfelelősége megállapításához.</w:t>
      </w:r>
    </w:p>
    <w:p w14:paraId="4E2E9D79" w14:textId="77777777" w:rsidR="00B659A0" w:rsidRPr="009148FE" w:rsidRDefault="00B659A0" w:rsidP="00B659A0">
      <w:pPr>
        <w:spacing w:before="64"/>
        <w:rPr>
          <w:rFonts w:ascii="Playfair Display" w:hAnsi="Playfair Display"/>
          <w:sz w:val="20"/>
        </w:rPr>
      </w:pPr>
      <w:r w:rsidRPr="009148FE">
        <w:rPr>
          <w:rFonts w:ascii="Playfair Display" w:hAnsi="Playfair Display"/>
          <w:sz w:val="20"/>
          <w:u w:val="single"/>
        </w:rPr>
        <w:t>Kivonat az „A felsőoktatási szakképzések, az alap- és mesterképzések, valamint hitéleti képzések a 2022/23-as tanévtől alkalmazandó képzési és kimeneti követelményei” című dokumentumból:</w:t>
      </w:r>
    </w:p>
    <w:p w14:paraId="475D37E1" w14:textId="77777777" w:rsidR="00F1788A" w:rsidRPr="003A2BC2" w:rsidRDefault="00F1788A">
      <w:pPr>
        <w:pStyle w:val="Szvegtrzs"/>
        <w:spacing w:before="5"/>
        <w:rPr>
          <w:rFonts w:ascii="Playfair Display" w:hAnsi="Playfair Display"/>
          <w:i/>
          <w:sz w:val="20"/>
          <w:szCs w:val="20"/>
        </w:rPr>
      </w:pPr>
    </w:p>
    <w:p w14:paraId="475D37E2" w14:textId="77777777" w:rsidR="00F1788A" w:rsidRPr="003A2BC2" w:rsidRDefault="00701797" w:rsidP="003A2BC2">
      <w:pPr>
        <w:spacing w:before="91"/>
        <w:ind w:left="446"/>
        <w:jc w:val="center"/>
        <w:rPr>
          <w:rFonts w:ascii="Playfair Display" w:hAnsi="Playfair Display"/>
          <w:b/>
          <w:szCs w:val="20"/>
        </w:rPr>
      </w:pPr>
      <w:r w:rsidRPr="003A2BC2">
        <w:rPr>
          <w:rFonts w:ascii="Playfair Display" w:hAnsi="Playfair Display"/>
          <w:b/>
          <w:szCs w:val="20"/>
        </w:rPr>
        <w:t>A VÉGZETTSÉGI SZINTEKET LEÍRÓ ÁLTALÁNOS JELLEMZŐK, KOMPETENCIÁK</w:t>
      </w:r>
    </w:p>
    <w:p w14:paraId="475D37E3" w14:textId="77777777" w:rsidR="00F1788A" w:rsidRPr="003A2BC2" w:rsidRDefault="00F1788A">
      <w:pPr>
        <w:pStyle w:val="Szvegtrzs"/>
        <w:spacing w:before="7"/>
        <w:rPr>
          <w:rFonts w:ascii="Playfair Display" w:hAnsi="Playfair Display"/>
          <w:b/>
          <w:sz w:val="20"/>
          <w:szCs w:val="20"/>
        </w:rPr>
      </w:pPr>
    </w:p>
    <w:p w14:paraId="475D37E4" w14:textId="77777777" w:rsidR="00F1788A" w:rsidRPr="003A2BC2" w:rsidRDefault="00701797">
      <w:pPr>
        <w:spacing w:before="1"/>
        <w:ind w:left="108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1. A felsőoktatási szakképzésben szerezhető végzettségi szint jellemzői</w:t>
      </w:r>
    </w:p>
    <w:p w14:paraId="475D37E5" w14:textId="77777777" w:rsidR="00F1788A" w:rsidRPr="003A2BC2" w:rsidRDefault="00701797">
      <w:pPr>
        <w:spacing w:before="115"/>
        <w:ind w:left="108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Felsőoktatási szakképzésben felsőoktatási szakképzettséget az szerezhet, aki rendelkezik a következő tudás, képesség, attitűd, illetve autonómia és felelősség kompetenciákkal:</w:t>
      </w:r>
    </w:p>
    <w:p w14:paraId="475D37E6" w14:textId="77777777" w:rsidR="00F1788A" w:rsidRPr="003A2BC2" w:rsidRDefault="00701797">
      <w:pPr>
        <w:pStyle w:val="Listaszerbekezds"/>
        <w:numPr>
          <w:ilvl w:val="0"/>
          <w:numId w:val="6"/>
        </w:numPr>
        <w:tabs>
          <w:tab w:val="left" w:pos="368"/>
        </w:tabs>
        <w:spacing w:before="125"/>
        <w:ind w:hanging="259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tudása</w:t>
      </w:r>
    </w:p>
    <w:p w14:paraId="475D37E7" w14:textId="77777777" w:rsid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Rendelkezik egy adott szakterülethez kapcsolódó általános és szakspecifikus elméleti és gyakorlati</w:t>
      </w:r>
      <w:r w:rsidRPr="003A2BC2">
        <w:rPr>
          <w:rFonts w:ascii="Playfair Display" w:hAnsi="Playfair Display"/>
          <w:spacing w:val="-1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ismeretekkel.</w:t>
      </w:r>
    </w:p>
    <w:p w14:paraId="475D37E8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Az elméleti és gyakorlati tudása rendszerbe szerveződik.</w:t>
      </w:r>
    </w:p>
    <w:p w14:paraId="475D37E9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Ismeri szakterülete fő elméleteinek ismeretszerzési és probléma-megoldási módszereit.</w:t>
      </w:r>
    </w:p>
    <w:p w14:paraId="475D37EA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Rendelkezik az adott szakma hosszú távú, és magas szintű műveléséhez szükséges gyakorlati módszerekkel és eszközökkel kapcsolatos biztos ismeretekkel.</w:t>
      </w:r>
    </w:p>
    <w:p w14:paraId="475D37EB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Ismeri anyanyelven a szakterület szakmai szókincsét, és legalább egy idegen nyelven alapszintű nyelvismerettel rendelkezik.</w:t>
      </w:r>
    </w:p>
    <w:p w14:paraId="475D37EC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Ismeri azokat az értékeket, amelyek szakmáját a jelenkori műveltség keretébe</w:t>
      </w:r>
      <w:r w:rsidRPr="003A2BC2">
        <w:rPr>
          <w:rFonts w:ascii="Playfair Display" w:hAnsi="Playfair Display"/>
          <w:spacing w:val="-12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kapcsolják.</w:t>
      </w:r>
    </w:p>
    <w:p w14:paraId="475D37ED" w14:textId="77777777" w:rsidR="00F1788A" w:rsidRPr="003A2BC2" w:rsidRDefault="00701797">
      <w:pPr>
        <w:pStyle w:val="Listaszerbekezds"/>
        <w:numPr>
          <w:ilvl w:val="0"/>
          <w:numId w:val="6"/>
        </w:numPr>
        <w:tabs>
          <w:tab w:val="left" w:pos="383"/>
        </w:tabs>
        <w:spacing w:before="165"/>
        <w:ind w:left="382" w:hanging="274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képességei</w:t>
      </w:r>
    </w:p>
    <w:p w14:paraId="475D37EE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Ellátja a szakképzettségének megfelelő munkakört.</w:t>
      </w:r>
    </w:p>
    <w:p w14:paraId="475D37EF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Az adott szakma feladatait a szükséges módszerek és eszközök kiválasztásával, egyedi és komplex alkalmazásával tervezi és oldja meg.</w:t>
      </w:r>
    </w:p>
    <w:p w14:paraId="475D37F0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Anyanyelvi és idegen nyelvi kommunikációs képességei révén szakmailag együttműködik.</w:t>
      </w:r>
    </w:p>
    <w:p w14:paraId="475D37F1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Fejleszti tudását, és ehhez alkalmazza a tudásszerzés, önfejlesztés különböző módszereit és képes használni a legkorszerűbb információs és kommunikációs eszközöket.</w:t>
      </w:r>
    </w:p>
    <w:p w14:paraId="475D37F2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Felismeri személyes fejlődése és a közjó szolgálata közötti összefüggést.</w:t>
      </w:r>
    </w:p>
    <w:p w14:paraId="475D37F3" w14:textId="77777777" w:rsidR="00F1788A" w:rsidRPr="003A2BC2" w:rsidRDefault="00701797">
      <w:pPr>
        <w:pStyle w:val="Listaszerbekezds"/>
        <w:numPr>
          <w:ilvl w:val="0"/>
          <w:numId w:val="6"/>
        </w:numPr>
        <w:tabs>
          <w:tab w:val="left" w:pos="354"/>
        </w:tabs>
        <w:spacing w:before="163"/>
        <w:ind w:left="354" w:hanging="246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attitűdje</w:t>
      </w:r>
    </w:p>
    <w:p w14:paraId="475D37F4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Nyitott az adott szakterület új eredményei, innovációi iránt, törekszik azok megismerésére, megértésére és alkalmazására.</w:t>
      </w:r>
    </w:p>
    <w:p w14:paraId="475D37F5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Folyamatos önképzésre törekszik.</w:t>
      </w:r>
    </w:p>
    <w:p w14:paraId="475D37F6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Önkritikus saját munkájával kapcsolatosan.</w:t>
      </w:r>
    </w:p>
    <w:p w14:paraId="475D37F7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Elfogadja és hitelesen közvetíti szakmája társadalmi szerepét, értékeit.</w:t>
      </w:r>
    </w:p>
    <w:p w14:paraId="475D37F8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Új, váratlan élethelyzetekben is a jogszabályok és etikai normák teljes körű figyelembevételével hozza meg döntését.</w:t>
      </w:r>
    </w:p>
    <w:p w14:paraId="475D37F9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Nyitott a szakmájához kapcsolódó, de más területen tevékenykedő szakemberekkel való szakmai együttműködésre.</w:t>
      </w:r>
    </w:p>
    <w:p w14:paraId="475D37FA" w14:textId="77777777" w:rsidR="00F1788A" w:rsidRPr="003A2BC2" w:rsidRDefault="00701797">
      <w:pPr>
        <w:pStyle w:val="Listaszerbekezds"/>
        <w:numPr>
          <w:ilvl w:val="0"/>
          <w:numId w:val="4"/>
        </w:numPr>
        <w:tabs>
          <w:tab w:val="left" w:pos="354"/>
        </w:tabs>
        <w:spacing w:before="164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autonómiája és</w:t>
      </w:r>
      <w:r w:rsidRPr="003A2BC2">
        <w:rPr>
          <w:rFonts w:ascii="Playfair Display" w:hAnsi="Playfair Display"/>
          <w:b/>
          <w:spacing w:val="-2"/>
          <w:sz w:val="20"/>
          <w:szCs w:val="20"/>
        </w:rPr>
        <w:t xml:space="preserve"> </w:t>
      </w:r>
      <w:r w:rsidRPr="003A2BC2">
        <w:rPr>
          <w:rFonts w:ascii="Playfair Display" w:hAnsi="Playfair Display"/>
          <w:b/>
          <w:sz w:val="20"/>
          <w:szCs w:val="20"/>
        </w:rPr>
        <w:t>felelőssége</w:t>
      </w:r>
    </w:p>
    <w:p w14:paraId="475D37FB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Önállóan végzi munkáját, folyamatos önellenőrzés mellett.</w:t>
      </w:r>
    </w:p>
    <w:p w14:paraId="475D37FC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Felelősséget vállal saját és az általa vezetett szakmai csoport munkájáért, eredményeiért és kudarcaiért.</w:t>
      </w:r>
    </w:p>
    <w:p w14:paraId="475D37FD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Képzettségi</w:t>
      </w:r>
      <w:r w:rsidRPr="003A2BC2">
        <w:rPr>
          <w:rFonts w:ascii="Playfair Display" w:hAnsi="Playfair Display"/>
          <w:sz w:val="20"/>
          <w:szCs w:val="20"/>
        </w:rPr>
        <w:tab/>
        <w:t>szintjének</w:t>
      </w:r>
      <w:r w:rsidRPr="003A2BC2">
        <w:rPr>
          <w:rFonts w:ascii="Playfair Display" w:hAnsi="Playfair Display"/>
          <w:sz w:val="20"/>
          <w:szCs w:val="20"/>
        </w:rPr>
        <w:tab/>
        <w:t>megfelelő</w:t>
      </w:r>
      <w:r w:rsidRPr="003A2BC2">
        <w:rPr>
          <w:rFonts w:ascii="Playfair Display" w:hAnsi="Playfair Display"/>
          <w:sz w:val="20"/>
          <w:szCs w:val="20"/>
        </w:rPr>
        <w:tab/>
        <w:t>fe</w:t>
      </w:r>
      <w:r w:rsidR="003A2BC2">
        <w:rPr>
          <w:rFonts w:ascii="Playfair Display" w:hAnsi="Playfair Display"/>
          <w:sz w:val="20"/>
          <w:szCs w:val="20"/>
        </w:rPr>
        <w:t>lelősségtudattal</w:t>
      </w:r>
      <w:r w:rsidR="003A2BC2">
        <w:rPr>
          <w:rFonts w:ascii="Playfair Display" w:hAnsi="Playfair Display"/>
          <w:sz w:val="20"/>
          <w:szCs w:val="20"/>
        </w:rPr>
        <w:tab/>
        <w:t>rendelkezik</w:t>
      </w:r>
      <w:r w:rsidR="003A2BC2">
        <w:rPr>
          <w:rFonts w:ascii="Playfair Display" w:hAnsi="Playfair Display"/>
          <w:sz w:val="20"/>
          <w:szCs w:val="20"/>
        </w:rPr>
        <w:tab/>
        <w:t xml:space="preserve">és </w:t>
      </w:r>
      <w:r w:rsidRPr="003A2BC2">
        <w:rPr>
          <w:rFonts w:ascii="Playfair Display" w:hAnsi="Playfair Display"/>
          <w:sz w:val="20"/>
          <w:szCs w:val="20"/>
        </w:rPr>
        <w:t>reflektál</w:t>
      </w:r>
      <w:r w:rsidRPr="003A2BC2">
        <w:rPr>
          <w:rFonts w:ascii="Playfair Display" w:hAnsi="Playfair Display"/>
          <w:sz w:val="20"/>
          <w:szCs w:val="20"/>
        </w:rPr>
        <w:tab/>
        <w:t>saját tevékenységének következményeire.</w:t>
      </w:r>
    </w:p>
    <w:p w14:paraId="475D37FE" w14:textId="77777777" w:rsidR="003A2BC2" w:rsidRPr="003A2BC2" w:rsidRDefault="003A2BC2" w:rsidP="003A2BC2">
      <w:pPr>
        <w:tabs>
          <w:tab w:val="left" w:pos="567"/>
        </w:tabs>
        <w:spacing w:before="55"/>
        <w:ind w:right="209"/>
        <w:jc w:val="both"/>
        <w:rPr>
          <w:rFonts w:ascii="Playfair Display" w:hAnsi="Playfair Display"/>
          <w:sz w:val="20"/>
          <w:szCs w:val="20"/>
        </w:rPr>
        <w:sectPr w:rsidR="003A2BC2" w:rsidRPr="003A2BC2">
          <w:pgSz w:w="11910" w:h="16840"/>
          <w:pgMar w:top="900" w:right="1040" w:bottom="860" w:left="1140" w:header="624" w:footer="674" w:gutter="0"/>
          <w:cols w:space="708"/>
        </w:sectPr>
      </w:pPr>
    </w:p>
    <w:p w14:paraId="475D37FF" w14:textId="77777777" w:rsidR="00F1788A" w:rsidRPr="003A2BC2" w:rsidRDefault="00F1788A">
      <w:pPr>
        <w:pStyle w:val="Szvegtrzs"/>
        <w:spacing w:before="3"/>
        <w:rPr>
          <w:rFonts w:ascii="Playfair Display" w:hAnsi="Playfair Display"/>
          <w:sz w:val="20"/>
          <w:szCs w:val="20"/>
        </w:rPr>
      </w:pPr>
    </w:p>
    <w:p w14:paraId="5FE16FCC" w14:textId="77777777" w:rsidR="00B659A0" w:rsidRPr="009148FE" w:rsidRDefault="00B659A0" w:rsidP="00B659A0">
      <w:pPr>
        <w:spacing w:before="64"/>
        <w:rPr>
          <w:rFonts w:ascii="Playfair Display" w:hAnsi="Playfair Display"/>
          <w:sz w:val="20"/>
        </w:rPr>
      </w:pPr>
      <w:r w:rsidRPr="009148FE">
        <w:rPr>
          <w:rFonts w:ascii="Playfair Display" w:hAnsi="Playfair Display"/>
          <w:sz w:val="20"/>
          <w:u w:val="single"/>
        </w:rPr>
        <w:t>Kivonat az „A felsőoktatási szakképzések, az alap- és mesterképzések, valamint hitéleti képzések a 2022/23-as tanévtől alkalmazandó képzési és kimeneti követelményei” című dokumentumból:</w:t>
      </w:r>
    </w:p>
    <w:p w14:paraId="475D3801" w14:textId="77777777" w:rsidR="00F1788A" w:rsidRPr="003A2BC2" w:rsidRDefault="00701797" w:rsidP="003A2BC2">
      <w:pPr>
        <w:spacing w:before="240"/>
        <w:ind w:right="96"/>
        <w:jc w:val="center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FELSŐOKTATÁSI SZAKKÉPZÉSBEN</w:t>
      </w:r>
    </w:p>
    <w:p w14:paraId="475D3802" w14:textId="77777777" w:rsidR="00F1788A" w:rsidRPr="003A2BC2" w:rsidRDefault="00701797" w:rsidP="003A2BC2">
      <w:pPr>
        <w:spacing w:after="240"/>
        <w:ind w:right="96"/>
        <w:jc w:val="center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 xml:space="preserve"> VALAMENNYI FELSŐOKTATÁSI SZAKKÉPZÉS KÖZÖS MODULJÁNAK JELLEMZŐI</w:t>
      </w:r>
    </w:p>
    <w:p w14:paraId="475D3803" w14:textId="77777777" w:rsidR="00F1788A" w:rsidRPr="003A2BC2" w:rsidRDefault="00701797">
      <w:pPr>
        <w:pStyle w:val="Listaszerbekezds"/>
        <w:numPr>
          <w:ilvl w:val="1"/>
          <w:numId w:val="4"/>
        </w:numPr>
        <w:tabs>
          <w:tab w:val="left" w:pos="382"/>
        </w:tabs>
        <w:spacing w:before="118"/>
        <w:ind w:hanging="273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A FELSŐOKTATÁSI SZAKKÉPZÉS KÖZÖS MODULJÁNAK</w:t>
      </w:r>
      <w:r w:rsidRPr="003A2BC2">
        <w:rPr>
          <w:rFonts w:ascii="Playfair Display" w:hAnsi="Playfair Display"/>
          <w:b/>
          <w:spacing w:val="-4"/>
          <w:sz w:val="20"/>
          <w:szCs w:val="20"/>
        </w:rPr>
        <w:t xml:space="preserve"> </w:t>
      </w:r>
      <w:r w:rsidRPr="003A2BC2">
        <w:rPr>
          <w:rFonts w:ascii="Playfair Display" w:hAnsi="Playfair Display"/>
          <w:b/>
          <w:sz w:val="20"/>
          <w:szCs w:val="20"/>
        </w:rPr>
        <w:t>JELLEMZŐI</w:t>
      </w:r>
    </w:p>
    <w:p w14:paraId="475D3804" w14:textId="77777777" w:rsidR="00F1788A" w:rsidRPr="003A2BC2" w:rsidRDefault="00701797" w:rsidP="003A2BC2">
      <w:pPr>
        <w:pStyle w:val="Listaszerbekezds"/>
        <w:numPr>
          <w:ilvl w:val="0"/>
          <w:numId w:val="3"/>
        </w:numPr>
        <w:tabs>
          <w:tab w:val="left" w:pos="330"/>
        </w:tabs>
        <w:spacing w:before="120" w:after="120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Munkaerő-piaci ismeretek</w:t>
      </w:r>
    </w:p>
    <w:p w14:paraId="475D3805" w14:textId="77777777" w:rsidR="00F1788A" w:rsidRPr="003A2BC2" w:rsidRDefault="00701797" w:rsidP="003A2BC2">
      <w:pPr>
        <w:pStyle w:val="Listaszerbekezds"/>
        <w:numPr>
          <w:ilvl w:val="1"/>
          <w:numId w:val="3"/>
        </w:numPr>
        <w:tabs>
          <w:tab w:val="left" w:pos="488"/>
        </w:tabs>
        <w:spacing w:before="0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főbb kompetenciák, szakmai készségek:</w:t>
      </w:r>
    </w:p>
    <w:p w14:paraId="475D3806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helyzetfelismerés és helyzetelemzés, logikus gondolkodás, kreativitás, ötletgazdagság;</w:t>
      </w:r>
    </w:p>
    <w:p w14:paraId="475D3807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hiteles kommunikáció, önmenedzselés, határozottság és céltudatosság;</w:t>
      </w:r>
    </w:p>
    <w:p w14:paraId="475D3808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felelős munkavállalói magatartás, döntésképesség;</w:t>
      </w:r>
    </w:p>
    <w:p w14:paraId="475D3809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önfoglalkoztatási kompetenciák, vállalkozói magatartás;</w:t>
      </w:r>
    </w:p>
    <w:p w14:paraId="475D380A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udvariasság, kulturált és etikus magatartás;</w:t>
      </w:r>
    </w:p>
    <w:p w14:paraId="475D380B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munka világában az értékrend ismerete és betartása;</w:t>
      </w:r>
    </w:p>
    <w:p w14:paraId="475D380C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munkáltatói elvárásoknak megfelelő magatartás és teljesítmény;</w:t>
      </w:r>
    </w:p>
    <w:p w14:paraId="475D380D" w14:textId="77777777" w:rsidR="00F1788A" w:rsidRPr="003A2BC2" w:rsidRDefault="00701797" w:rsidP="003A2BC2">
      <w:pPr>
        <w:pStyle w:val="Listaszerbekezds"/>
        <w:numPr>
          <w:ilvl w:val="1"/>
          <w:numId w:val="3"/>
        </w:numPr>
        <w:tabs>
          <w:tab w:val="left" w:pos="488"/>
        </w:tabs>
        <w:spacing w:before="120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szakmai követelmény:</w:t>
      </w:r>
    </w:p>
    <w:p w14:paraId="475D380E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munkaerőpiac alapfogalmainak ismerete;</w:t>
      </w:r>
    </w:p>
    <w:p w14:paraId="475D380F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gazdálkodó szervezetek fogalmának, típusainak ismerete;</w:t>
      </w:r>
    </w:p>
    <w:p w14:paraId="475D3810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adott vállalkozás esetén a munkajogi előírások értelmezése;</w:t>
      </w:r>
    </w:p>
    <w:p w14:paraId="475D3811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munkavállalói jogok és kötelezettségek ismerete;</w:t>
      </w:r>
    </w:p>
    <w:p w14:paraId="475D3812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álláskeresési technikák alkalmazása (szakmai önéletrajz készítése), interjúkon siker elérése;</w:t>
      </w:r>
    </w:p>
    <w:p w14:paraId="475D3813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alkalmazkodás az önfoglalkozási korlátokhoz, a vállalkozás szakmai és jogi kereteihez;</w:t>
      </w:r>
    </w:p>
    <w:p w14:paraId="475D3814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alkalmazkodás a hazai és a nemzetközi munkaerő-piaci változásokhoz;</w:t>
      </w:r>
    </w:p>
    <w:p w14:paraId="475D3815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aktuális jogi és eljárási szabályok ismerete az EGT tagállamaiban történő munkavállaláshoz.</w:t>
      </w:r>
    </w:p>
    <w:p w14:paraId="475D3816" w14:textId="77777777" w:rsidR="00F1788A" w:rsidRPr="003A2BC2" w:rsidRDefault="00701797" w:rsidP="003A2BC2">
      <w:pPr>
        <w:pStyle w:val="Listaszerbekezds"/>
        <w:numPr>
          <w:ilvl w:val="0"/>
          <w:numId w:val="3"/>
        </w:numPr>
        <w:tabs>
          <w:tab w:val="left" w:pos="330"/>
        </w:tabs>
        <w:spacing w:before="120" w:after="120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Idegennyelvi alapszintű</w:t>
      </w:r>
      <w:r w:rsidRPr="003A2BC2">
        <w:rPr>
          <w:rFonts w:ascii="Playfair Display" w:hAnsi="Playfair Display"/>
          <w:b/>
          <w:spacing w:val="-3"/>
          <w:sz w:val="20"/>
          <w:szCs w:val="20"/>
        </w:rPr>
        <w:t xml:space="preserve"> </w:t>
      </w:r>
      <w:r w:rsidRPr="003A2BC2">
        <w:rPr>
          <w:rFonts w:ascii="Playfair Display" w:hAnsi="Playfair Display"/>
          <w:b/>
          <w:sz w:val="20"/>
          <w:szCs w:val="20"/>
        </w:rPr>
        <w:t>ismeretek</w:t>
      </w:r>
    </w:p>
    <w:p w14:paraId="475D3817" w14:textId="77777777" w:rsidR="00F1788A" w:rsidRPr="003A2BC2" w:rsidRDefault="00701797" w:rsidP="003A2BC2">
      <w:pPr>
        <w:pStyle w:val="Listaszerbekezds"/>
        <w:numPr>
          <w:ilvl w:val="1"/>
          <w:numId w:val="3"/>
        </w:numPr>
        <w:tabs>
          <w:tab w:val="left" w:pos="488"/>
        </w:tabs>
        <w:spacing w:before="0"/>
        <w:ind w:hanging="237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főbb kompetenciák, szakmai készségek:</w:t>
      </w:r>
    </w:p>
    <w:p w14:paraId="475D3818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alapszintű beszédkészség;</w:t>
      </w:r>
    </w:p>
    <w:p w14:paraId="475D3819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alapszintű szöveg hallás utáni megértése;</w:t>
      </w:r>
    </w:p>
    <w:p w14:paraId="475D381A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olvasott szöveg megértése, alapszintű nyelvtudás az írásbeli válasz elkészítéséhez;</w:t>
      </w:r>
    </w:p>
    <w:p w14:paraId="475D381B" w14:textId="77777777" w:rsidR="00F1788A" w:rsidRPr="003A2BC2" w:rsidRDefault="00701797" w:rsidP="003A2BC2">
      <w:pPr>
        <w:pStyle w:val="Listaszerbekezds"/>
        <w:numPr>
          <w:ilvl w:val="1"/>
          <w:numId w:val="3"/>
        </w:numPr>
        <w:tabs>
          <w:tab w:val="left" w:pos="488"/>
        </w:tabs>
        <w:spacing w:before="120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szakmai követelmény:</w:t>
      </w:r>
    </w:p>
    <w:p w14:paraId="475D381C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idegen nyelven, alapfokon történő kommunikáció, írásban és szóban;</w:t>
      </w:r>
    </w:p>
    <w:p w14:paraId="475D381D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egyszerűbb idegen nyelvi szöveg megértése és fordítása (idegennyelvről anyanyelvre);</w:t>
      </w:r>
    </w:p>
    <w:p w14:paraId="475D381E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képzési terület sajátosságainak megfelelő szükséges idegen nyelvű szoftverek használata útmutatás alapján; a kezelőfelületek használata, a felhasználónak készített leírások, üzenetek megértése és alkalmazása.</w:t>
      </w:r>
    </w:p>
    <w:p w14:paraId="475D381F" w14:textId="77777777" w:rsidR="00F1788A" w:rsidRPr="003A2BC2" w:rsidRDefault="00701797" w:rsidP="003A2BC2">
      <w:pPr>
        <w:pStyle w:val="Listaszerbekezds"/>
        <w:numPr>
          <w:ilvl w:val="0"/>
          <w:numId w:val="3"/>
        </w:numPr>
        <w:tabs>
          <w:tab w:val="left" w:pos="330"/>
        </w:tabs>
        <w:spacing w:before="120" w:after="120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Szakmai és pénzügyi információfeldolgozási</w:t>
      </w:r>
      <w:r w:rsidRPr="003A2BC2">
        <w:rPr>
          <w:rFonts w:ascii="Playfair Display" w:hAnsi="Playfair Display"/>
          <w:b/>
          <w:spacing w:val="-5"/>
          <w:sz w:val="20"/>
          <w:szCs w:val="20"/>
        </w:rPr>
        <w:t xml:space="preserve"> </w:t>
      </w:r>
      <w:r w:rsidRPr="003A2BC2">
        <w:rPr>
          <w:rFonts w:ascii="Playfair Display" w:hAnsi="Playfair Display"/>
          <w:b/>
          <w:sz w:val="20"/>
          <w:szCs w:val="20"/>
        </w:rPr>
        <w:t>alapismeretek</w:t>
      </w:r>
    </w:p>
    <w:p w14:paraId="475D3820" w14:textId="77777777" w:rsidR="00F1788A" w:rsidRPr="003A2BC2" w:rsidRDefault="00701797" w:rsidP="003A2BC2">
      <w:pPr>
        <w:pStyle w:val="Listaszerbekezds"/>
        <w:numPr>
          <w:ilvl w:val="1"/>
          <w:numId w:val="3"/>
        </w:numPr>
        <w:tabs>
          <w:tab w:val="left" w:pos="488"/>
        </w:tabs>
        <w:spacing w:before="0"/>
        <w:ind w:hanging="237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főbb kompetenciák, szakmai készségek:</w:t>
      </w:r>
    </w:p>
    <w:p w14:paraId="475D3821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informatikai alapkompetenciák - egy operációs rendszer alapszolgáltatásainak használata, egy szövegszerkesztő, táblázatkezelő, böngésző, prezentációkészítő - biztonságos birtoklása;</w:t>
      </w:r>
    </w:p>
    <w:p w14:paraId="475D3822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szakmai informatikai programok felhasználói szintű ismerete és felhasználói készség annak használatával kapcsolatban;</w:t>
      </w:r>
    </w:p>
    <w:p w14:paraId="475D3823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infokommunikációs rendszerek használata;</w:t>
      </w:r>
    </w:p>
    <w:p w14:paraId="475D3824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logikus gondolkodás, felelősségtudat a szakmai feladatok megoldásában;</w:t>
      </w:r>
    </w:p>
    <w:p w14:paraId="475D3825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alapvető pénzügyi és adózási ismeretek, valamint ezek alkalmazása konkrét számítási feladatokban;</w:t>
      </w:r>
    </w:p>
    <w:p w14:paraId="475D3826" w14:textId="77777777" w:rsidR="00F1788A" w:rsidRPr="003A2BC2" w:rsidRDefault="00701797" w:rsidP="003A2BC2">
      <w:pPr>
        <w:pStyle w:val="Listaszerbekezds"/>
        <w:numPr>
          <w:ilvl w:val="1"/>
          <w:numId w:val="3"/>
        </w:numPr>
        <w:tabs>
          <w:tab w:val="left" w:pos="488"/>
        </w:tabs>
        <w:spacing w:before="360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lastRenderedPageBreak/>
        <w:t>a szakmai követelmény:</w:t>
      </w:r>
    </w:p>
    <w:p w14:paraId="475D3827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ECDL alapkövetelményei;</w:t>
      </w:r>
    </w:p>
    <w:p w14:paraId="475D3828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problémák, feladatok megoldásában a gazdálkodó szervezet adminisztrációs, információs és kommunikációs rendszereinek szakszerű használata;</w:t>
      </w:r>
    </w:p>
    <w:p w14:paraId="475D3829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51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egyszerű, a hétköznapi életben előforduló számítási feladatok megoldása számítógép használatával (különösen a százalékszámítás, kamatos kamat, ÁFA- és adószámítások, számlázási alapismeretek);</w:t>
      </w:r>
    </w:p>
    <w:p w14:paraId="475D382A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döntési folyamatokban az információs rendszer és adatbázisának aktív használata;</w:t>
      </w:r>
    </w:p>
    <w:p w14:paraId="475D382B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számítógép hálózati szolgáltatások ismerete és alkalmazása adott feladatok megoldásához;</w:t>
      </w:r>
    </w:p>
    <w:p w14:paraId="475D382C" w14:textId="77777777" w:rsidR="00F1788A" w:rsidRPr="003A2BC2" w:rsidRDefault="00701797" w:rsidP="003A2BC2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képzési terület sajátosságainak megfelelő adatbázisok kezelése, a meglévő adatbázisokból lekérdezési feladatok meghatározása és megoldása adott szakmai cél szerint.</w:t>
      </w:r>
    </w:p>
    <w:p w14:paraId="475D382D" w14:textId="77777777" w:rsidR="00F1788A" w:rsidRPr="003A2BC2" w:rsidRDefault="00701797" w:rsidP="003A2BC2">
      <w:pPr>
        <w:pStyle w:val="Listaszerbekezds"/>
        <w:numPr>
          <w:ilvl w:val="0"/>
          <w:numId w:val="3"/>
        </w:numPr>
        <w:tabs>
          <w:tab w:val="left" w:pos="330"/>
        </w:tabs>
        <w:spacing w:before="120" w:after="120"/>
        <w:rPr>
          <w:rFonts w:ascii="Playfair Display" w:hAnsi="Playfair Display"/>
          <w:b/>
          <w:sz w:val="20"/>
          <w:szCs w:val="20"/>
        </w:rPr>
      </w:pPr>
      <w:r w:rsidRPr="003A2BC2">
        <w:rPr>
          <w:rFonts w:ascii="Playfair Display" w:hAnsi="Playfair Display"/>
          <w:b/>
          <w:sz w:val="20"/>
          <w:szCs w:val="20"/>
        </w:rPr>
        <w:t>Kommunikációs</w:t>
      </w:r>
      <w:r w:rsidRPr="003A2BC2">
        <w:rPr>
          <w:rFonts w:ascii="Playfair Display" w:hAnsi="Playfair Display"/>
          <w:b/>
          <w:spacing w:val="-1"/>
          <w:sz w:val="20"/>
          <w:szCs w:val="20"/>
        </w:rPr>
        <w:t xml:space="preserve"> </w:t>
      </w:r>
      <w:r w:rsidRPr="003A2BC2">
        <w:rPr>
          <w:rFonts w:ascii="Playfair Display" w:hAnsi="Playfair Display"/>
          <w:b/>
          <w:sz w:val="20"/>
          <w:szCs w:val="20"/>
        </w:rPr>
        <w:t>ismeretek</w:t>
      </w:r>
    </w:p>
    <w:p w14:paraId="475D382E" w14:textId="77777777" w:rsidR="00F1788A" w:rsidRPr="003A2BC2" w:rsidRDefault="00701797" w:rsidP="003A2BC2">
      <w:pPr>
        <w:pStyle w:val="Listaszerbekezds"/>
        <w:numPr>
          <w:ilvl w:val="1"/>
          <w:numId w:val="3"/>
        </w:numPr>
        <w:tabs>
          <w:tab w:val="left" w:pos="488"/>
        </w:tabs>
        <w:spacing w:before="0"/>
        <w:ind w:hanging="237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főbb kompetenciák, szakmai készségek:</w:t>
      </w:r>
    </w:p>
    <w:p w14:paraId="475D382F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szakmai kommunikáció megértése és szakszerű alkalmazása szóban és</w:t>
      </w:r>
      <w:r w:rsidRPr="00432435">
        <w:rPr>
          <w:rFonts w:ascii="Playfair Display" w:hAnsi="Playfair Display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írásban;</w:t>
      </w:r>
    </w:p>
    <w:p w14:paraId="475D3830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az adott szakma témakörében anyanyelven eredményes szakmai</w:t>
      </w:r>
      <w:r w:rsidRPr="00432435">
        <w:rPr>
          <w:rFonts w:ascii="Playfair Display" w:hAnsi="Playfair Display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kommunikáció;</w:t>
      </w:r>
    </w:p>
    <w:p w14:paraId="475D3831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fejlett beszédkészség, megfelelő szakmai szókincs, nyelvhelyesség,</w:t>
      </w:r>
      <w:r w:rsidRPr="00432435">
        <w:rPr>
          <w:rFonts w:ascii="Playfair Display" w:hAnsi="Playfair Display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közérthetőség;</w:t>
      </w:r>
    </w:p>
    <w:p w14:paraId="475D3832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időtervezés,</w:t>
      </w:r>
      <w:r w:rsidRPr="00432435">
        <w:rPr>
          <w:rFonts w:ascii="Playfair Display" w:hAnsi="Playfair Display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információátadás;</w:t>
      </w:r>
    </w:p>
    <w:p w14:paraId="475D3833" w14:textId="77777777" w:rsidR="00F1788A" w:rsidRPr="003A2BC2" w:rsidRDefault="00701797" w:rsidP="00432435">
      <w:pPr>
        <w:pStyle w:val="Listaszerbekezds"/>
        <w:numPr>
          <w:ilvl w:val="1"/>
          <w:numId w:val="3"/>
        </w:numPr>
        <w:tabs>
          <w:tab w:val="left" w:pos="488"/>
        </w:tabs>
        <w:spacing w:before="120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szakmai követelmény:</w:t>
      </w:r>
    </w:p>
    <w:p w14:paraId="475D3834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tárgyalásokon való képviselet, a kommunikációs eszköztár használata a tárgyalástechnika és az üzleti szabályok</w:t>
      </w:r>
      <w:r w:rsidRPr="00432435">
        <w:rPr>
          <w:rFonts w:ascii="Playfair Display" w:hAnsi="Playfair Display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figyelembevételével;</w:t>
      </w:r>
    </w:p>
    <w:p w14:paraId="475D3835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a szakmai álláspontok meggyőző képviselete; hiteles kommunikáció; érvelési technikák és a szakmai érvrendszer ismerete, használata,</w:t>
      </w:r>
      <w:r w:rsidRPr="00432435">
        <w:rPr>
          <w:rFonts w:ascii="Playfair Display" w:hAnsi="Playfair Display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képviselete;</w:t>
      </w:r>
    </w:p>
    <w:p w14:paraId="475D3836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együttműködés a</w:t>
      </w:r>
      <w:r w:rsidRPr="00432435">
        <w:rPr>
          <w:rFonts w:ascii="Playfair Display" w:hAnsi="Playfair Display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munkatársakkal;</w:t>
      </w:r>
    </w:p>
    <w:p w14:paraId="475D3837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kommunikáció a széles értelemben vett megrendelővel,</w:t>
      </w:r>
      <w:r w:rsidRPr="00432435">
        <w:rPr>
          <w:rFonts w:ascii="Playfair Display" w:hAnsi="Playfair Display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ügyféllel;</w:t>
      </w:r>
    </w:p>
    <w:p w14:paraId="475D3838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együttműködés a szakmai partnerekkel, helyi önkormányzatokkal, kamarákkal, kormányhivatallal, médiával és a munkatársakkal, új üzleti kapcsolatok építése, sikeres kommunikáció a gazdasági élet valamennyi szereplőjével;</w:t>
      </w:r>
    </w:p>
    <w:p w14:paraId="475D3839" w14:textId="77777777" w:rsidR="00F1788A" w:rsidRPr="003A2BC2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  <w:rPr>
          <w:rFonts w:ascii="Playfair Display" w:hAnsi="Playfair Display"/>
          <w:sz w:val="20"/>
          <w:szCs w:val="20"/>
        </w:rPr>
      </w:pPr>
      <w:r w:rsidRPr="003A2BC2">
        <w:rPr>
          <w:rFonts w:ascii="Playfair Display" w:hAnsi="Playfair Display"/>
          <w:sz w:val="20"/>
          <w:szCs w:val="20"/>
        </w:rPr>
        <w:t>üzleti levél,</w:t>
      </w:r>
      <w:r w:rsidRPr="00432435">
        <w:rPr>
          <w:rFonts w:ascii="Playfair Display" w:hAnsi="Playfair Display"/>
          <w:sz w:val="20"/>
          <w:szCs w:val="20"/>
        </w:rPr>
        <w:t xml:space="preserve"> </w:t>
      </w:r>
      <w:r w:rsidRPr="003A2BC2">
        <w:rPr>
          <w:rFonts w:ascii="Playfair Display" w:hAnsi="Playfair Display"/>
          <w:sz w:val="20"/>
          <w:szCs w:val="20"/>
        </w:rPr>
        <w:t>üzenetkészítés;</w:t>
      </w:r>
    </w:p>
    <w:p w14:paraId="475D383A" w14:textId="77777777" w:rsidR="00F1788A" w:rsidRDefault="00701797" w:rsidP="00432435">
      <w:pPr>
        <w:pStyle w:val="Listaszerbekezds"/>
        <w:numPr>
          <w:ilvl w:val="0"/>
          <w:numId w:val="9"/>
        </w:numPr>
        <w:tabs>
          <w:tab w:val="left" w:pos="567"/>
        </w:tabs>
        <w:spacing w:before="55"/>
        <w:ind w:left="567" w:right="209"/>
        <w:jc w:val="both"/>
      </w:pPr>
      <w:r w:rsidRPr="003A2BC2">
        <w:rPr>
          <w:rFonts w:ascii="Playfair Display" w:hAnsi="Playfair Display"/>
          <w:sz w:val="20"/>
          <w:szCs w:val="20"/>
        </w:rPr>
        <w:t>az alapvető kommunikációs módszerek és technikák ismerete és szakszerű</w:t>
      </w:r>
      <w:r w:rsidRPr="00432435">
        <w:rPr>
          <w:rFonts w:ascii="Playfair Display" w:hAnsi="Playfair Display"/>
          <w:sz w:val="20"/>
          <w:szCs w:val="20"/>
        </w:rPr>
        <w:t xml:space="preserve"> alkalmazása</w:t>
      </w:r>
      <w:r>
        <w:t>.</w:t>
      </w:r>
    </w:p>
    <w:sectPr w:rsidR="00F1788A" w:rsidSect="00432435">
      <w:pgSz w:w="11910" w:h="16840"/>
      <w:pgMar w:top="1134" w:right="1040" w:bottom="860" w:left="1140" w:header="624" w:footer="6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383F" w14:textId="77777777" w:rsidR="006F1CE2" w:rsidRDefault="006F1CE2">
      <w:r>
        <w:separator/>
      </w:r>
    </w:p>
  </w:endnote>
  <w:endnote w:type="continuationSeparator" w:id="0">
    <w:p w14:paraId="475D3840" w14:textId="77777777" w:rsidR="006F1CE2" w:rsidRDefault="006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693116"/>
      <w:docPartObj>
        <w:docPartGallery w:val="Page Numbers (Bottom of Page)"/>
        <w:docPartUnique/>
      </w:docPartObj>
    </w:sdtPr>
    <w:sdtEndPr>
      <w:rPr>
        <w:rFonts w:ascii="Playfair Display" w:hAnsi="Playfair Display"/>
        <w:sz w:val="18"/>
      </w:rPr>
    </w:sdtEndPr>
    <w:sdtContent>
      <w:p w14:paraId="475D384A" w14:textId="77777777" w:rsidR="00F3307A" w:rsidRPr="00F3307A" w:rsidRDefault="00F3307A">
        <w:pPr>
          <w:pStyle w:val="llb"/>
          <w:jc w:val="center"/>
          <w:rPr>
            <w:rFonts w:ascii="Playfair Display" w:hAnsi="Playfair Display"/>
            <w:sz w:val="18"/>
          </w:rPr>
        </w:pPr>
        <w:r w:rsidRPr="00F3307A">
          <w:rPr>
            <w:rFonts w:ascii="Playfair Display" w:hAnsi="Playfair Display"/>
            <w:sz w:val="18"/>
          </w:rPr>
          <w:fldChar w:fldCharType="begin"/>
        </w:r>
        <w:r w:rsidRPr="00F3307A">
          <w:rPr>
            <w:rFonts w:ascii="Playfair Display" w:hAnsi="Playfair Display"/>
            <w:sz w:val="18"/>
          </w:rPr>
          <w:instrText>PAGE   \* MERGEFORMAT</w:instrText>
        </w:r>
        <w:r w:rsidRPr="00F3307A">
          <w:rPr>
            <w:rFonts w:ascii="Playfair Display" w:hAnsi="Playfair Display"/>
            <w:sz w:val="18"/>
          </w:rPr>
          <w:fldChar w:fldCharType="separate"/>
        </w:r>
        <w:r w:rsidR="00177A9F">
          <w:rPr>
            <w:rFonts w:ascii="Playfair Display" w:hAnsi="Playfair Display"/>
            <w:noProof/>
            <w:sz w:val="18"/>
          </w:rPr>
          <w:t>4</w:t>
        </w:r>
        <w:r w:rsidRPr="00F3307A">
          <w:rPr>
            <w:rFonts w:ascii="Playfair Display" w:hAnsi="Playfair Display"/>
            <w:sz w:val="18"/>
          </w:rPr>
          <w:fldChar w:fldCharType="end"/>
        </w:r>
      </w:p>
    </w:sdtContent>
  </w:sdt>
  <w:p w14:paraId="475D384B" w14:textId="77777777" w:rsidR="00F1788A" w:rsidRDefault="00F1788A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383D" w14:textId="77777777" w:rsidR="006F1CE2" w:rsidRDefault="006F1CE2">
      <w:r>
        <w:separator/>
      </w:r>
    </w:p>
  </w:footnote>
  <w:footnote w:type="continuationSeparator" w:id="0">
    <w:p w14:paraId="475D383E" w14:textId="77777777" w:rsidR="006F1CE2" w:rsidRDefault="006F1CE2">
      <w:r>
        <w:continuationSeparator/>
      </w:r>
    </w:p>
  </w:footnote>
  <w:footnote w:id="1">
    <w:p w14:paraId="4E61C183" w14:textId="77777777" w:rsidR="00A5574E" w:rsidRPr="000638C7" w:rsidRDefault="00A5574E" w:rsidP="00A5574E">
      <w:pPr>
        <w:pStyle w:val="Lbjegyzetszveg"/>
        <w:rPr>
          <w:rFonts w:ascii="Playfair Display" w:hAnsi="Playfair Display"/>
          <w:b/>
          <w:sz w:val="16"/>
        </w:rPr>
      </w:pPr>
      <w:r w:rsidRPr="000638C7">
        <w:rPr>
          <w:rStyle w:val="Lbjegyzet-hivatkozs"/>
          <w:rFonts w:ascii="Playfair Display" w:hAnsi="Playfair Display"/>
          <w:sz w:val="16"/>
        </w:rPr>
        <w:footnoteRef/>
      </w:r>
      <w:r w:rsidRPr="000638C7">
        <w:rPr>
          <w:rFonts w:ascii="Playfair Display" w:hAnsi="Playfair Display"/>
          <w:sz w:val="16"/>
        </w:rPr>
        <w:t xml:space="preserve"> 65/2021. (XII. 29.) ITM rendelet </w:t>
      </w:r>
      <w:r w:rsidRPr="000638C7">
        <w:rPr>
          <w:rFonts w:ascii="Playfair Display" w:hAnsi="Playfair Display"/>
          <w:bCs/>
          <w:sz w:val="16"/>
        </w:rPr>
        <w:t xml:space="preserve">4. § </w:t>
      </w:r>
      <w:r w:rsidRPr="000638C7">
        <w:rPr>
          <w:rFonts w:ascii="Playfair Display" w:hAnsi="Playfair Display"/>
          <w:sz w:val="16"/>
        </w:rPr>
        <w:t>(4) A létesítési dokumentumnak tartalmaznia kell: (…)</w:t>
      </w:r>
    </w:p>
    <w:p w14:paraId="1749ADDC" w14:textId="77777777" w:rsidR="00A5574E" w:rsidRPr="000638C7" w:rsidRDefault="00A5574E" w:rsidP="00A5574E">
      <w:pPr>
        <w:adjustRightInd w:val="0"/>
        <w:ind w:left="142"/>
        <w:jc w:val="both"/>
        <w:rPr>
          <w:rFonts w:ascii="Playfair Display" w:hAnsi="Playfair Display"/>
          <w:sz w:val="16"/>
        </w:rPr>
      </w:pPr>
      <w:r w:rsidRPr="000638C7">
        <w:rPr>
          <w:rFonts w:ascii="Playfair Display" w:hAnsi="Playfair Display"/>
          <w:sz w:val="16"/>
        </w:rPr>
        <w:t>de) a szakmai szervezetek és a munkaadók, valamint az ágazati szintű foglalkoztatásban érdekelt miniszter véleményét;</w:t>
      </w:r>
    </w:p>
    <w:p w14:paraId="009FA0A6" w14:textId="77777777" w:rsidR="00A5574E" w:rsidRPr="000638C7" w:rsidRDefault="00A5574E" w:rsidP="00A5574E">
      <w:pPr>
        <w:adjustRightInd w:val="0"/>
        <w:ind w:left="142"/>
        <w:jc w:val="both"/>
        <w:rPr>
          <w:rFonts w:ascii="Playfair Display" w:hAnsi="Playfair Display"/>
          <w:sz w:val="16"/>
        </w:rPr>
      </w:pPr>
      <w:r w:rsidRPr="000638C7">
        <w:rPr>
          <w:rFonts w:ascii="Playfair Display" w:hAnsi="Playfair Display"/>
          <w:sz w:val="16"/>
        </w:rPr>
        <w:t>f) a Magyar Felsőoktatási Akkreditációs Bizottság 5. § (1) bekezdése szerinti véleményét;</w:t>
      </w:r>
    </w:p>
    <w:p w14:paraId="06E2BDF9" w14:textId="77777777" w:rsidR="00A5574E" w:rsidRPr="008B2AC8" w:rsidRDefault="00A5574E" w:rsidP="00A5574E">
      <w:pPr>
        <w:adjustRightInd w:val="0"/>
        <w:ind w:left="142"/>
        <w:jc w:val="both"/>
        <w:rPr>
          <w:rFonts w:ascii="Playfair Display" w:hAnsi="Playfair Display"/>
          <w:color w:val="FF0000"/>
          <w:sz w:val="16"/>
        </w:rPr>
      </w:pPr>
      <w:r w:rsidRPr="000638C7">
        <w:rPr>
          <w:rFonts w:ascii="Playfair Display" w:hAnsi="Playfair Display"/>
          <w:i/>
          <w:iCs/>
          <w:sz w:val="16"/>
        </w:rPr>
        <w:t xml:space="preserve">g) </w:t>
      </w:r>
      <w:r w:rsidRPr="000638C7">
        <w:rPr>
          <w:rFonts w:ascii="Playfair Display" w:hAnsi="Playfair Display"/>
          <w:sz w:val="16"/>
        </w:rPr>
        <w:t>a Felsőoktatási Tervezési Testület 5. § (1) bekezdése szerinti véleményét;</w:t>
      </w:r>
    </w:p>
  </w:footnote>
  <w:footnote w:id="2">
    <w:p w14:paraId="475D3850" w14:textId="77777777" w:rsidR="00F3307A" w:rsidRPr="00F3307A" w:rsidRDefault="00F3307A" w:rsidP="00F3307A">
      <w:pPr>
        <w:pStyle w:val="Lbjegyzetszveg"/>
        <w:jc w:val="both"/>
        <w:rPr>
          <w:rFonts w:ascii="Playfair Display" w:hAnsi="Playfair Display"/>
        </w:rPr>
      </w:pPr>
      <w:r w:rsidRPr="00F3307A">
        <w:rPr>
          <w:rStyle w:val="Lbjegyzet-hivatkozs"/>
          <w:rFonts w:ascii="Playfair Display" w:hAnsi="Playfair Display"/>
          <w:sz w:val="16"/>
        </w:rPr>
        <w:footnoteRef/>
      </w:r>
      <w:r w:rsidRPr="00F3307A">
        <w:rPr>
          <w:rFonts w:ascii="Playfair Display" w:hAnsi="Playfair Display"/>
          <w:sz w:val="16"/>
        </w:rPr>
        <w:t xml:space="preserve"> </w:t>
      </w:r>
      <w:r w:rsidRPr="00F3307A">
        <w:rPr>
          <w:rFonts w:ascii="Playfair Display" w:hAnsi="Playfair Display"/>
          <w:b/>
          <w:sz w:val="16"/>
        </w:rPr>
        <w:t xml:space="preserve">15. § </w:t>
      </w:r>
      <w:r w:rsidRPr="00F3307A">
        <w:rPr>
          <w:rFonts w:ascii="Playfair Display" w:hAnsi="Playfair Display"/>
          <w:sz w:val="16"/>
        </w:rPr>
        <w:t>(2) Felsőoktatási szakképzésben felsőfokú szakképzettség szerezhető, amelyet oklevél tanúsít. A felsőoktatási szakképzésre tekintettel kiállított oklevél önálló végzettségi szintet nem tanúsít. A felsőoktatási szakképzésben legalább százhúsz kreditet kell megszerezni. A képzési és kimeneti követelmény tartalmazza a felsőoktatási szakképzés képzési területi besorolását. Az azonos képzési területhez tartozó alapképzési szakba beszámítható kreditek száma legalább harminc, legfeljebb kilencven lehet. A képzési idő legalább négy félév.</w:t>
      </w:r>
    </w:p>
  </w:footnote>
  <w:footnote w:id="3">
    <w:p w14:paraId="475D3851" w14:textId="225FAF63" w:rsidR="00F3307A" w:rsidRPr="009148FE" w:rsidRDefault="00F3307A" w:rsidP="00F3307A">
      <w:pPr>
        <w:pStyle w:val="Lbjegyzetszveg"/>
        <w:jc w:val="both"/>
        <w:rPr>
          <w:rFonts w:ascii="Playfair Display" w:hAnsi="Playfair Display"/>
        </w:rPr>
      </w:pPr>
      <w:r w:rsidRPr="009148FE">
        <w:rPr>
          <w:rStyle w:val="Lbjegyzet-hivatkozs"/>
          <w:rFonts w:ascii="Playfair Display" w:hAnsi="Playfair Display"/>
          <w:sz w:val="16"/>
        </w:rPr>
        <w:footnoteRef/>
      </w:r>
      <w:r w:rsidRPr="009148FE">
        <w:rPr>
          <w:rFonts w:ascii="Playfair Display" w:hAnsi="Playfair Display"/>
          <w:sz w:val="16"/>
        </w:rPr>
        <w:t xml:space="preserve"> Lásd a mellékletet („A felsőoktatási szakképzésben szerezhető végzettségi szint jellemzői.) </w:t>
      </w:r>
    </w:p>
  </w:footnote>
  <w:footnote w:id="4">
    <w:p w14:paraId="340D91DA" w14:textId="77777777" w:rsidR="005A5C5F" w:rsidRPr="009148FE" w:rsidRDefault="00F3307A" w:rsidP="005A5C5F">
      <w:pPr>
        <w:spacing w:before="40"/>
        <w:jc w:val="both"/>
        <w:rPr>
          <w:rFonts w:ascii="Playfair Display" w:hAnsi="Playfair Display"/>
          <w:spacing w:val="-4"/>
          <w:sz w:val="16"/>
          <w:szCs w:val="18"/>
        </w:rPr>
      </w:pPr>
      <w:r w:rsidRPr="009148FE">
        <w:rPr>
          <w:rStyle w:val="Lbjegyzet-hivatkozs"/>
          <w:rFonts w:ascii="Playfair Display" w:hAnsi="Playfair Display"/>
          <w:sz w:val="16"/>
        </w:rPr>
        <w:footnoteRef/>
      </w:r>
      <w:r w:rsidRPr="009148FE">
        <w:rPr>
          <w:rFonts w:ascii="Playfair Display" w:hAnsi="Playfair Display"/>
          <w:sz w:val="16"/>
        </w:rPr>
        <w:t xml:space="preserve"> </w:t>
      </w:r>
      <w:r w:rsidR="005A5C5F" w:rsidRPr="009148FE">
        <w:rPr>
          <w:rFonts w:ascii="Playfair Display" w:hAnsi="Playfair Display"/>
          <w:b/>
          <w:spacing w:val="-4"/>
          <w:sz w:val="16"/>
          <w:szCs w:val="18"/>
        </w:rPr>
        <w:t xml:space="preserve">A felsőoktatási szakképzések, az alap- és mesterképzések, valamint hitéleti képzések a 2022/23-as tanévtől alkalmazandó képzési és kimeneti követelményei 1. melléklet 5. pont: </w:t>
      </w:r>
    </w:p>
    <w:p w14:paraId="07A131F7" w14:textId="77777777" w:rsidR="005A5C5F" w:rsidRPr="009148FE" w:rsidRDefault="005A5C5F" w:rsidP="005A5C5F">
      <w:pPr>
        <w:pStyle w:val="Listaszerbekezds"/>
        <w:widowControl/>
        <w:numPr>
          <w:ilvl w:val="0"/>
          <w:numId w:val="11"/>
        </w:numPr>
        <w:adjustRightInd w:val="0"/>
        <w:spacing w:before="0"/>
        <w:ind w:left="426"/>
        <w:contextualSpacing/>
        <w:jc w:val="both"/>
        <w:rPr>
          <w:rFonts w:ascii="Playfair Display" w:hAnsi="Playfair Display"/>
          <w:sz w:val="16"/>
          <w:szCs w:val="18"/>
        </w:rPr>
      </w:pPr>
      <w:r w:rsidRPr="009148FE">
        <w:rPr>
          <w:rFonts w:ascii="Playfair Display" w:hAnsi="Playfair Display"/>
          <w:sz w:val="16"/>
          <w:szCs w:val="18"/>
        </w:rPr>
        <w:t>kiemelten elméletorientált, amelyben az elméleti jellegű ismeretátadás aránya 70–80 százalék,</w:t>
      </w:r>
    </w:p>
    <w:p w14:paraId="4E067512" w14:textId="77777777" w:rsidR="005A5C5F" w:rsidRPr="009148FE" w:rsidRDefault="005A5C5F" w:rsidP="005A5C5F">
      <w:pPr>
        <w:pStyle w:val="Listaszerbekezds"/>
        <w:widowControl/>
        <w:numPr>
          <w:ilvl w:val="0"/>
          <w:numId w:val="11"/>
        </w:numPr>
        <w:adjustRightInd w:val="0"/>
        <w:spacing w:before="0"/>
        <w:ind w:left="426"/>
        <w:contextualSpacing/>
        <w:jc w:val="both"/>
        <w:rPr>
          <w:rFonts w:ascii="Playfair Display" w:hAnsi="Playfair Display"/>
          <w:sz w:val="16"/>
          <w:szCs w:val="18"/>
        </w:rPr>
      </w:pPr>
      <w:r w:rsidRPr="009148FE">
        <w:rPr>
          <w:rFonts w:ascii="Playfair Display" w:hAnsi="Playfair Display"/>
          <w:sz w:val="16"/>
          <w:szCs w:val="18"/>
        </w:rPr>
        <w:t>elméletorientált, amelyben az elméleti jellegű ismeretátadás aránya 60–70 százalék,</w:t>
      </w:r>
    </w:p>
    <w:p w14:paraId="68C6110C" w14:textId="77777777" w:rsidR="005A5C5F" w:rsidRPr="009148FE" w:rsidRDefault="005A5C5F" w:rsidP="005A5C5F">
      <w:pPr>
        <w:pStyle w:val="Listaszerbekezds"/>
        <w:widowControl/>
        <w:numPr>
          <w:ilvl w:val="0"/>
          <w:numId w:val="11"/>
        </w:numPr>
        <w:adjustRightInd w:val="0"/>
        <w:spacing w:before="0"/>
        <w:ind w:left="426"/>
        <w:contextualSpacing/>
        <w:jc w:val="both"/>
        <w:rPr>
          <w:rFonts w:ascii="Playfair Display" w:hAnsi="Playfair Display"/>
          <w:sz w:val="16"/>
          <w:szCs w:val="18"/>
        </w:rPr>
      </w:pPr>
      <w:r w:rsidRPr="009148FE">
        <w:rPr>
          <w:rFonts w:ascii="Playfair Display" w:hAnsi="Playfair Display"/>
          <w:sz w:val="16"/>
          <w:szCs w:val="18"/>
        </w:rPr>
        <w:t>kiegyensúlyozott, amelyben az elméleti jellegű ismeretátadás aránya 40–60 százalék,</w:t>
      </w:r>
    </w:p>
    <w:p w14:paraId="029AAF2E" w14:textId="77777777" w:rsidR="0068466C" w:rsidRPr="009148FE" w:rsidRDefault="005A5C5F" w:rsidP="0068466C">
      <w:pPr>
        <w:pStyle w:val="Listaszerbekezds"/>
        <w:widowControl/>
        <w:numPr>
          <w:ilvl w:val="0"/>
          <w:numId w:val="11"/>
        </w:numPr>
        <w:adjustRightInd w:val="0"/>
        <w:spacing w:before="0"/>
        <w:ind w:left="426"/>
        <w:contextualSpacing/>
        <w:jc w:val="both"/>
        <w:rPr>
          <w:rFonts w:ascii="Playfair Display" w:hAnsi="Playfair Display"/>
          <w:sz w:val="16"/>
          <w:szCs w:val="18"/>
        </w:rPr>
      </w:pPr>
      <w:r w:rsidRPr="009148FE">
        <w:rPr>
          <w:rFonts w:ascii="Playfair Display" w:hAnsi="Playfair Display"/>
          <w:sz w:val="16"/>
          <w:szCs w:val="18"/>
        </w:rPr>
        <w:t>gyakorlatorientált, amelyben a gyakorlati jellegű ismeretszerzés aránya 60–70 százalék</w:t>
      </w:r>
    </w:p>
    <w:p w14:paraId="475D3857" w14:textId="7C9887B2" w:rsidR="00F3307A" w:rsidRPr="009148FE" w:rsidRDefault="0068466C" w:rsidP="0068466C">
      <w:pPr>
        <w:pStyle w:val="Listaszerbekezds"/>
        <w:widowControl/>
        <w:numPr>
          <w:ilvl w:val="0"/>
          <w:numId w:val="11"/>
        </w:numPr>
        <w:adjustRightInd w:val="0"/>
        <w:spacing w:before="0"/>
        <w:ind w:left="426"/>
        <w:contextualSpacing/>
        <w:jc w:val="both"/>
        <w:rPr>
          <w:rFonts w:ascii="Playfair Display" w:hAnsi="Playfair Display"/>
          <w:sz w:val="16"/>
          <w:szCs w:val="18"/>
        </w:rPr>
      </w:pPr>
      <w:r w:rsidRPr="009148FE">
        <w:rPr>
          <w:rFonts w:ascii="Playfair Display" w:hAnsi="Playfair Display"/>
          <w:sz w:val="16"/>
          <w:szCs w:val="18"/>
        </w:rPr>
        <w:t xml:space="preserve">e) </w:t>
      </w:r>
      <w:r w:rsidR="005A5C5F" w:rsidRPr="009148FE">
        <w:rPr>
          <w:rFonts w:ascii="Playfair Display" w:hAnsi="Playfair Display"/>
          <w:sz w:val="16"/>
          <w:szCs w:val="18"/>
        </w:rPr>
        <w:t>kiemelten gyakorlatorientált, amelyben a gyakorlati jellegű ismeretszerzés aránya 70–80 százalék.</w:t>
      </w:r>
    </w:p>
  </w:footnote>
  <w:footnote w:id="5">
    <w:p w14:paraId="475D3858" w14:textId="32DFB739" w:rsidR="003A2BC2" w:rsidRPr="009148FE" w:rsidRDefault="003A2BC2">
      <w:pPr>
        <w:pStyle w:val="Lbjegyzetszveg"/>
        <w:rPr>
          <w:rFonts w:ascii="Playfair Display" w:hAnsi="Playfair Display" w:cs="Calibri"/>
          <w:b/>
        </w:rPr>
      </w:pPr>
      <w:r w:rsidRPr="009148FE">
        <w:rPr>
          <w:rStyle w:val="Lbjegyzet-hivatkozs"/>
          <w:rFonts w:ascii="Playfair Display" w:hAnsi="Playfair Display" w:cs="Calibri"/>
          <w:sz w:val="16"/>
        </w:rPr>
        <w:footnoteRef/>
      </w:r>
      <w:r w:rsidRPr="009148FE">
        <w:rPr>
          <w:rFonts w:ascii="Playfair Display" w:hAnsi="Playfair Display" w:cs="Calibri"/>
          <w:sz w:val="16"/>
        </w:rPr>
        <w:t xml:space="preserve"> </w:t>
      </w:r>
      <w:r w:rsidR="00232128" w:rsidRPr="009148FE">
        <w:rPr>
          <w:rFonts w:ascii="Playfair Display" w:hAnsi="Playfair Display"/>
          <w:sz w:val="16"/>
        </w:rPr>
        <w:t xml:space="preserve">Ld. </w:t>
      </w:r>
      <w:r w:rsidR="00232128" w:rsidRPr="009148FE">
        <w:rPr>
          <w:rFonts w:ascii="Playfair Display" w:hAnsi="Playfair Display"/>
          <w:b/>
          <w:sz w:val="16"/>
        </w:rPr>
        <w:t>65/2021. (XII. 29.) ITM rendelet 5. § (1)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3842" w14:textId="4EEADA8C" w:rsidR="00177A9F" w:rsidRPr="00177A9F" w:rsidRDefault="00177A9F" w:rsidP="00177A9F">
    <w:pPr>
      <w:pStyle w:val="lfej"/>
      <w:rPr>
        <w:rFonts w:ascii="Playfair Display" w:hAnsi="Playfair Display"/>
        <w:color w:val="595959" w:themeColor="text1" w:themeTint="A6"/>
        <w:sz w:val="20"/>
      </w:rPr>
    </w:pPr>
    <w:r w:rsidRPr="00177A9F">
      <w:rPr>
        <w:rFonts w:ascii="Playfair Display" w:hAnsi="Playfair Display"/>
        <w:b/>
        <w:noProof/>
        <w:color w:val="595959" w:themeColor="text1" w:themeTint="A6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475D384C" wp14:editId="475D384D">
          <wp:simplePos x="0" y="0"/>
          <wp:positionH relativeFrom="column">
            <wp:posOffset>4158224</wp:posOffset>
          </wp:positionH>
          <wp:positionV relativeFrom="paragraph">
            <wp:posOffset>-262352</wp:posOffset>
          </wp:positionV>
          <wp:extent cx="1919824" cy="650630"/>
          <wp:effectExtent l="0" t="0" r="4445" b="0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824" cy="65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38C7" w:rsidRPr="000638C7">
      <w:rPr>
        <w:rFonts w:ascii="Playfair Display" w:hAnsi="Playfair Display"/>
        <w:color w:val="595959" w:themeColor="text1" w:themeTint="A6"/>
        <w:sz w:val="20"/>
      </w:rPr>
      <w:t xml:space="preserve">A MAB 2022/8/IX/3. </w:t>
    </w:r>
    <w:r w:rsidR="000638C7">
      <w:rPr>
        <w:rFonts w:ascii="Playfair Display" w:hAnsi="Playfair Display"/>
        <w:color w:val="595959" w:themeColor="text1" w:themeTint="A6"/>
        <w:sz w:val="20"/>
      </w:rPr>
      <w:t xml:space="preserve">sz. </w:t>
    </w:r>
    <w:r w:rsidR="000638C7" w:rsidRPr="000638C7">
      <w:rPr>
        <w:rFonts w:ascii="Playfair Display" w:hAnsi="Playfair Display"/>
        <w:color w:val="595959" w:themeColor="text1" w:themeTint="A6"/>
        <w:sz w:val="20"/>
      </w:rPr>
      <w:t>határozata</w:t>
    </w:r>
  </w:p>
  <w:p w14:paraId="475D3843" w14:textId="77777777" w:rsidR="00F3307A" w:rsidRPr="00177A9F" w:rsidRDefault="00177A9F" w:rsidP="00177A9F">
    <w:pPr>
      <w:pStyle w:val="lfej"/>
      <w:rPr>
        <w:rFonts w:ascii="Playfair Display" w:hAnsi="Playfair Display"/>
        <w:b/>
        <w:color w:val="595959" w:themeColor="text1" w:themeTint="A6"/>
        <w:sz w:val="20"/>
      </w:rPr>
    </w:pPr>
    <w:r w:rsidRPr="00177A9F">
      <w:rPr>
        <w:rFonts w:ascii="Playfair Display" w:hAnsi="Playfair Display"/>
        <w:b/>
        <w:color w:val="595959" w:themeColor="text1" w:themeTint="A6"/>
        <w:sz w:val="20"/>
      </w:rPr>
      <w:t>FELSŐOKTATÁSI SZAKKÉPZÉS – LÉTESÍTÉS – BÍRÁLATI LAP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3848" w14:textId="77777777" w:rsidR="00177A9F" w:rsidRPr="00177A9F" w:rsidRDefault="00177A9F" w:rsidP="00177A9F">
    <w:pPr>
      <w:pStyle w:val="lfej"/>
      <w:rPr>
        <w:rFonts w:ascii="Playfair Display" w:hAnsi="Playfair Display"/>
        <w:b/>
        <w:sz w:val="20"/>
      </w:rPr>
    </w:pPr>
    <w:r w:rsidRPr="00177A9F">
      <w:rPr>
        <w:rFonts w:ascii="Playfair Display" w:hAnsi="Playfair Display"/>
        <w:b/>
        <w:noProof/>
        <w:color w:val="595959" w:themeColor="text1" w:themeTint="A6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475D384E" wp14:editId="475D384F">
          <wp:simplePos x="0" y="0"/>
          <wp:positionH relativeFrom="column">
            <wp:posOffset>3982134</wp:posOffset>
          </wp:positionH>
          <wp:positionV relativeFrom="paragraph">
            <wp:posOffset>-262255</wp:posOffset>
          </wp:positionV>
          <wp:extent cx="1919824" cy="650630"/>
          <wp:effectExtent l="0" t="0" r="4445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824" cy="65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A9F">
      <w:rPr>
        <w:rFonts w:ascii="Playfair Display" w:hAnsi="Playfair Display"/>
        <w:b/>
        <w:color w:val="595959" w:themeColor="text1" w:themeTint="A6"/>
        <w:sz w:val="20"/>
      </w:rPr>
      <w:t>FELSŐOKTATÁSI SZAKKÉPZÉS – LÉTESÍTÉS – BÍRÁLATI LAP</w:t>
    </w:r>
  </w:p>
  <w:p w14:paraId="475D3849" w14:textId="77777777" w:rsidR="00F1788A" w:rsidRDefault="00F1788A">
    <w:pPr>
      <w:pStyle w:val="Szvegtrz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1869"/>
    <w:multiLevelType w:val="hybridMultilevel"/>
    <w:tmpl w:val="2EDE7270"/>
    <w:lvl w:ilvl="0" w:tplc="D31C865E">
      <w:start w:val="3"/>
      <w:numFmt w:val="lowerLetter"/>
      <w:lvlText w:val="%1)"/>
      <w:lvlJc w:val="left"/>
      <w:pPr>
        <w:ind w:left="353" w:hanging="2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hu-HU" w:bidi="hu-HU"/>
      </w:rPr>
    </w:lvl>
    <w:lvl w:ilvl="1" w:tplc="4614F68E">
      <w:start w:val="1"/>
      <w:numFmt w:val="upperLetter"/>
      <w:lvlText w:val="%2)"/>
      <w:lvlJc w:val="left"/>
      <w:pPr>
        <w:ind w:left="381" w:hanging="274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hu-HU" w:eastAsia="hu-HU" w:bidi="hu-HU"/>
      </w:rPr>
    </w:lvl>
    <w:lvl w:ilvl="2" w:tplc="30881EFE">
      <w:numFmt w:val="bullet"/>
      <w:lvlText w:val="•"/>
      <w:lvlJc w:val="left"/>
      <w:pPr>
        <w:ind w:left="1418" w:hanging="274"/>
      </w:pPr>
      <w:rPr>
        <w:rFonts w:hint="default"/>
        <w:lang w:val="hu-HU" w:eastAsia="hu-HU" w:bidi="hu-HU"/>
      </w:rPr>
    </w:lvl>
    <w:lvl w:ilvl="3" w:tplc="4B22E038">
      <w:numFmt w:val="bullet"/>
      <w:lvlText w:val="•"/>
      <w:lvlJc w:val="left"/>
      <w:pPr>
        <w:ind w:left="2456" w:hanging="274"/>
      </w:pPr>
      <w:rPr>
        <w:rFonts w:hint="default"/>
        <w:lang w:val="hu-HU" w:eastAsia="hu-HU" w:bidi="hu-HU"/>
      </w:rPr>
    </w:lvl>
    <w:lvl w:ilvl="4" w:tplc="77AC78E6">
      <w:numFmt w:val="bullet"/>
      <w:lvlText w:val="•"/>
      <w:lvlJc w:val="left"/>
      <w:pPr>
        <w:ind w:left="3495" w:hanging="274"/>
      </w:pPr>
      <w:rPr>
        <w:rFonts w:hint="default"/>
        <w:lang w:val="hu-HU" w:eastAsia="hu-HU" w:bidi="hu-HU"/>
      </w:rPr>
    </w:lvl>
    <w:lvl w:ilvl="5" w:tplc="95685FCC">
      <w:numFmt w:val="bullet"/>
      <w:lvlText w:val="•"/>
      <w:lvlJc w:val="left"/>
      <w:pPr>
        <w:ind w:left="4533" w:hanging="274"/>
      </w:pPr>
      <w:rPr>
        <w:rFonts w:hint="default"/>
        <w:lang w:val="hu-HU" w:eastAsia="hu-HU" w:bidi="hu-HU"/>
      </w:rPr>
    </w:lvl>
    <w:lvl w:ilvl="6" w:tplc="80580C9E">
      <w:numFmt w:val="bullet"/>
      <w:lvlText w:val="•"/>
      <w:lvlJc w:val="left"/>
      <w:pPr>
        <w:ind w:left="5572" w:hanging="274"/>
      </w:pPr>
      <w:rPr>
        <w:rFonts w:hint="default"/>
        <w:lang w:val="hu-HU" w:eastAsia="hu-HU" w:bidi="hu-HU"/>
      </w:rPr>
    </w:lvl>
    <w:lvl w:ilvl="7" w:tplc="6F9067E2">
      <w:numFmt w:val="bullet"/>
      <w:lvlText w:val="•"/>
      <w:lvlJc w:val="left"/>
      <w:pPr>
        <w:ind w:left="6610" w:hanging="274"/>
      </w:pPr>
      <w:rPr>
        <w:rFonts w:hint="default"/>
        <w:lang w:val="hu-HU" w:eastAsia="hu-HU" w:bidi="hu-HU"/>
      </w:rPr>
    </w:lvl>
    <w:lvl w:ilvl="8" w:tplc="B7EC7A32">
      <w:numFmt w:val="bullet"/>
      <w:lvlText w:val="•"/>
      <w:lvlJc w:val="left"/>
      <w:pPr>
        <w:ind w:left="7649" w:hanging="274"/>
      </w:pPr>
      <w:rPr>
        <w:rFonts w:hint="default"/>
        <w:lang w:val="hu-HU" w:eastAsia="hu-HU" w:bidi="hu-HU"/>
      </w:rPr>
    </w:lvl>
  </w:abstractNum>
  <w:abstractNum w:abstractNumId="1" w15:restartNumberingAfterBreak="0">
    <w:nsid w:val="084E539C"/>
    <w:multiLevelType w:val="hybridMultilevel"/>
    <w:tmpl w:val="79203E14"/>
    <w:lvl w:ilvl="0" w:tplc="F86E4E50">
      <w:start w:val="1"/>
      <w:numFmt w:val="lowerLetter"/>
      <w:lvlText w:val="%1)"/>
      <w:lvlJc w:val="left"/>
      <w:pPr>
        <w:ind w:left="28" w:hanging="238"/>
      </w:pPr>
      <w:rPr>
        <w:rFonts w:ascii="Times New Roman" w:eastAsia="Times New Roman" w:hAnsi="Times New Roman" w:cs="Times New Roman" w:hint="default"/>
        <w:b/>
        <w:i w:val="0"/>
        <w:w w:val="100"/>
        <w:sz w:val="22"/>
        <w:szCs w:val="22"/>
        <w:lang w:val="hu-HU" w:eastAsia="hu-HU" w:bidi="hu-HU"/>
      </w:rPr>
    </w:lvl>
    <w:lvl w:ilvl="1" w:tplc="BF5A67EC">
      <w:numFmt w:val="bullet"/>
      <w:lvlText w:val="•"/>
      <w:lvlJc w:val="left"/>
      <w:pPr>
        <w:ind w:left="969" w:hanging="238"/>
      </w:pPr>
      <w:rPr>
        <w:rFonts w:hint="default"/>
        <w:lang w:val="hu-HU" w:eastAsia="hu-HU" w:bidi="hu-HU"/>
      </w:rPr>
    </w:lvl>
    <w:lvl w:ilvl="2" w:tplc="69682E76">
      <w:numFmt w:val="bullet"/>
      <w:lvlText w:val="•"/>
      <w:lvlJc w:val="left"/>
      <w:pPr>
        <w:ind w:left="1919" w:hanging="238"/>
      </w:pPr>
      <w:rPr>
        <w:rFonts w:hint="default"/>
        <w:lang w:val="hu-HU" w:eastAsia="hu-HU" w:bidi="hu-HU"/>
      </w:rPr>
    </w:lvl>
    <w:lvl w:ilvl="3" w:tplc="D86058CE">
      <w:numFmt w:val="bullet"/>
      <w:lvlText w:val="•"/>
      <w:lvlJc w:val="left"/>
      <w:pPr>
        <w:ind w:left="2869" w:hanging="238"/>
      </w:pPr>
      <w:rPr>
        <w:rFonts w:hint="default"/>
        <w:lang w:val="hu-HU" w:eastAsia="hu-HU" w:bidi="hu-HU"/>
      </w:rPr>
    </w:lvl>
    <w:lvl w:ilvl="4" w:tplc="70922C78">
      <w:numFmt w:val="bullet"/>
      <w:lvlText w:val="•"/>
      <w:lvlJc w:val="left"/>
      <w:pPr>
        <w:ind w:left="3819" w:hanging="238"/>
      </w:pPr>
      <w:rPr>
        <w:rFonts w:hint="default"/>
        <w:lang w:val="hu-HU" w:eastAsia="hu-HU" w:bidi="hu-HU"/>
      </w:rPr>
    </w:lvl>
    <w:lvl w:ilvl="5" w:tplc="77BCD042">
      <w:numFmt w:val="bullet"/>
      <w:lvlText w:val="•"/>
      <w:lvlJc w:val="left"/>
      <w:pPr>
        <w:ind w:left="4768" w:hanging="238"/>
      </w:pPr>
      <w:rPr>
        <w:rFonts w:hint="default"/>
        <w:lang w:val="hu-HU" w:eastAsia="hu-HU" w:bidi="hu-HU"/>
      </w:rPr>
    </w:lvl>
    <w:lvl w:ilvl="6" w:tplc="06FC6E18">
      <w:numFmt w:val="bullet"/>
      <w:lvlText w:val="•"/>
      <w:lvlJc w:val="left"/>
      <w:pPr>
        <w:ind w:left="5718" w:hanging="238"/>
      </w:pPr>
      <w:rPr>
        <w:rFonts w:hint="default"/>
        <w:lang w:val="hu-HU" w:eastAsia="hu-HU" w:bidi="hu-HU"/>
      </w:rPr>
    </w:lvl>
    <w:lvl w:ilvl="7" w:tplc="2416BFE6">
      <w:numFmt w:val="bullet"/>
      <w:lvlText w:val="•"/>
      <w:lvlJc w:val="left"/>
      <w:pPr>
        <w:ind w:left="6668" w:hanging="238"/>
      </w:pPr>
      <w:rPr>
        <w:rFonts w:hint="default"/>
        <w:lang w:val="hu-HU" w:eastAsia="hu-HU" w:bidi="hu-HU"/>
      </w:rPr>
    </w:lvl>
    <w:lvl w:ilvl="8" w:tplc="7AF2F5E2">
      <w:numFmt w:val="bullet"/>
      <w:lvlText w:val="•"/>
      <w:lvlJc w:val="left"/>
      <w:pPr>
        <w:ind w:left="7618" w:hanging="238"/>
      </w:pPr>
      <w:rPr>
        <w:rFonts w:hint="default"/>
        <w:lang w:val="hu-HU" w:eastAsia="hu-HU" w:bidi="hu-HU"/>
      </w:rPr>
    </w:lvl>
  </w:abstractNum>
  <w:abstractNum w:abstractNumId="2" w15:restartNumberingAfterBreak="0">
    <w:nsid w:val="0B14402A"/>
    <w:multiLevelType w:val="hybridMultilevel"/>
    <w:tmpl w:val="ACD84DEC"/>
    <w:lvl w:ilvl="0" w:tplc="BE9286D6">
      <w:numFmt w:val="bullet"/>
      <w:lvlText w:val="-"/>
      <w:lvlJc w:val="left"/>
      <w:pPr>
        <w:ind w:left="5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33222B42">
      <w:numFmt w:val="bullet"/>
      <w:lvlText w:val="•"/>
      <w:lvlJc w:val="left"/>
      <w:pPr>
        <w:ind w:left="1440" w:hanging="125"/>
      </w:pPr>
      <w:rPr>
        <w:rFonts w:hint="default"/>
        <w:lang w:val="hu-HU" w:eastAsia="hu-HU" w:bidi="hu-HU"/>
      </w:rPr>
    </w:lvl>
    <w:lvl w:ilvl="2" w:tplc="CC347920">
      <w:numFmt w:val="bullet"/>
      <w:lvlText w:val="•"/>
      <w:lvlJc w:val="left"/>
      <w:pPr>
        <w:ind w:left="2361" w:hanging="125"/>
      </w:pPr>
      <w:rPr>
        <w:rFonts w:hint="default"/>
        <w:lang w:val="hu-HU" w:eastAsia="hu-HU" w:bidi="hu-HU"/>
      </w:rPr>
    </w:lvl>
    <w:lvl w:ilvl="3" w:tplc="4790BC46">
      <w:numFmt w:val="bullet"/>
      <w:lvlText w:val="•"/>
      <w:lvlJc w:val="left"/>
      <w:pPr>
        <w:ind w:left="3281" w:hanging="125"/>
      </w:pPr>
      <w:rPr>
        <w:rFonts w:hint="default"/>
        <w:lang w:val="hu-HU" w:eastAsia="hu-HU" w:bidi="hu-HU"/>
      </w:rPr>
    </w:lvl>
    <w:lvl w:ilvl="4" w:tplc="6840F7A6">
      <w:numFmt w:val="bullet"/>
      <w:lvlText w:val="•"/>
      <w:lvlJc w:val="left"/>
      <w:pPr>
        <w:ind w:left="4202" w:hanging="125"/>
      </w:pPr>
      <w:rPr>
        <w:rFonts w:hint="default"/>
        <w:lang w:val="hu-HU" w:eastAsia="hu-HU" w:bidi="hu-HU"/>
      </w:rPr>
    </w:lvl>
    <w:lvl w:ilvl="5" w:tplc="3D9A9F9A">
      <w:numFmt w:val="bullet"/>
      <w:lvlText w:val="•"/>
      <w:lvlJc w:val="left"/>
      <w:pPr>
        <w:ind w:left="5123" w:hanging="125"/>
      </w:pPr>
      <w:rPr>
        <w:rFonts w:hint="default"/>
        <w:lang w:val="hu-HU" w:eastAsia="hu-HU" w:bidi="hu-HU"/>
      </w:rPr>
    </w:lvl>
    <w:lvl w:ilvl="6" w:tplc="70E8D1E6">
      <w:numFmt w:val="bullet"/>
      <w:lvlText w:val="•"/>
      <w:lvlJc w:val="left"/>
      <w:pPr>
        <w:ind w:left="6043" w:hanging="125"/>
      </w:pPr>
      <w:rPr>
        <w:rFonts w:hint="default"/>
        <w:lang w:val="hu-HU" w:eastAsia="hu-HU" w:bidi="hu-HU"/>
      </w:rPr>
    </w:lvl>
    <w:lvl w:ilvl="7" w:tplc="F4ECBDEC">
      <w:numFmt w:val="bullet"/>
      <w:lvlText w:val="•"/>
      <w:lvlJc w:val="left"/>
      <w:pPr>
        <w:ind w:left="6964" w:hanging="125"/>
      </w:pPr>
      <w:rPr>
        <w:rFonts w:hint="default"/>
        <w:lang w:val="hu-HU" w:eastAsia="hu-HU" w:bidi="hu-HU"/>
      </w:rPr>
    </w:lvl>
    <w:lvl w:ilvl="8" w:tplc="A238C6E6">
      <w:numFmt w:val="bullet"/>
      <w:lvlText w:val="•"/>
      <w:lvlJc w:val="left"/>
      <w:pPr>
        <w:ind w:left="7885" w:hanging="125"/>
      </w:pPr>
      <w:rPr>
        <w:rFonts w:hint="default"/>
        <w:lang w:val="hu-HU" w:eastAsia="hu-HU" w:bidi="hu-HU"/>
      </w:rPr>
    </w:lvl>
  </w:abstractNum>
  <w:abstractNum w:abstractNumId="3" w15:restartNumberingAfterBreak="0">
    <w:nsid w:val="36CA17CB"/>
    <w:multiLevelType w:val="hybridMultilevel"/>
    <w:tmpl w:val="EC9E0192"/>
    <w:lvl w:ilvl="0" w:tplc="A0A8B840">
      <w:numFmt w:val="bullet"/>
      <w:lvlText w:val="-"/>
      <w:lvlJc w:val="left"/>
      <w:pPr>
        <w:ind w:left="487" w:hanging="2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u-HU" w:eastAsia="hu-HU" w:bidi="hu-HU"/>
      </w:rPr>
    </w:lvl>
    <w:lvl w:ilvl="1" w:tplc="2782F44C">
      <w:numFmt w:val="bullet"/>
      <w:lvlText w:val="-"/>
      <w:lvlJc w:val="left"/>
      <w:pPr>
        <w:ind w:left="39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2" w:tplc="B9BAA836">
      <w:numFmt w:val="bullet"/>
      <w:lvlText w:val="•"/>
      <w:lvlJc w:val="left"/>
      <w:pPr>
        <w:ind w:left="1507" w:hanging="125"/>
      </w:pPr>
      <w:rPr>
        <w:rFonts w:hint="default"/>
        <w:lang w:val="hu-HU" w:eastAsia="hu-HU" w:bidi="hu-HU"/>
      </w:rPr>
    </w:lvl>
    <w:lvl w:ilvl="3" w:tplc="C3B80366">
      <w:numFmt w:val="bullet"/>
      <w:lvlText w:val="•"/>
      <w:lvlJc w:val="left"/>
      <w:pPr>
        <w:ind w:left="2534" w:hanging="125"/>
      </w:pPr>
      <w:rPr>
        <w:rFonts w:hint="default"/>
        <w:lang w:val="hu-HU" w:eastAsia="hu-HU" w:bidi="hu-HU"/>
      </w:rPr>
    </w:lvl>
    <w:lvl w:ilvl="4" w:tplc="BB7AC206">
      <w:numFmt w:val="bullet"/>
      <w:lvlText w:val="•"/>
      <w:lvlJc w:val="left"/>
      <w:pPr>
        <w:ind w:left="3562" w:hanging="125"/>
      </w:pPr>
      <w:rPr>
        <w:rFonts w:hint="default"/>
        <w:lang w:val="hu-HU" w:eastAsia="hu-HU" w:bidi="hu-HU"/>
      </w:rPr>
    </w:lvl>
    <w:lvl w:ilvl="5" w:tplc="09BE0B4C">
      <w:numFmt w:val="bullet"/>
      <w:lvlText w:val="•"/>
      <w:lvlJc w:val="left"/>
      <w:pPr>
        <w:ind w:left="4589" w:hanging="125"/>
      </w:pPr>
      <w:rPr>
        <w:rFonts w:hint="default"/>
        <w:lang w:val="hu-HU" w:eastAsia="hu-HU" w:bidi="hu-HU"/>
      </w:rPr>
    </w:lvl>
    <w:lvl w:ilvl="6" w:tplc="DA6E670A">
      <w:numFmt w:val="bullet"/>
      <w:lvlText w:val="•"/>
      <w:lvlJc w:val="left"/>
      <w:pPr>
        <w:ind w:left="5616" w:hanging="125"/>
      </w:pPr>
      <w:rPr>
        <w:rFonts w:hint="default"/>
        <w:lang w:val="hu-HU" w:eastAsia="hu-HU" w:bidi="hu-HU"/>
      </w:rPr>
    </w:lvl>
    <w:lvl w:ilvl="7" w:tplc="4E4AE830">
      <w:numFmt w:val="bullet"/>
      <w:lvlText w:val="•"/>
      <w:lvlJc w:val="left"/>
      <w:pPr>
        <w:ind w:left="6644" w:hanging="125"/>
      </w:pPr>
      <w:rPr>
        <w:rFonts w:hint="default"/>
        <w:lang w:val="hu-HU" w:eastAsia="hu-HU" w:bidi="hu-HU"/>
      </w:rPr>
    </w:lvl>
    <w:lvl w:ilvl="8" w:tplc="1188F7AA">
      <w:numFmt w:val="bullet"/>
      <w:lvlText w:val="•"/>
      <w:lvlJc w:val="left"/>
      <w:pPr>
        <w:ind w:left="7671" w:hanging="125"/>
      </w:pPr>
      <w:rPr>
        <w:rFonts w:hint="default"/>
        <w:lang w:val="hu-HU" w:eastAsia="hu-HU" w:bidi="hu-HU"/>
      </w:rPr>
    </w:lvl>
  </w:abstractNum>
  <w:abstractNum w:abstractNumId="4" w15:restartNumberingAfterBreak="0">
    <w:nsid w:val="43CF1E3C"/>
    <w:multiLevelType w:val="hybridMultilevel"/>
    <w:tmpl w:val="596E497E"/>
    <w:lvl w:ilvl="0" w:tplc="441C71EC">
      <w:numFmt w:val="bullet"/>
      <w:lvlText w:val="-"/>
      <w:lvlJc w:val="left"/>
      <w:pPr>
        <w:ind w:left="12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040E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 w15:restartNumberingAfterBreak="0">
    <w:nsid w:val="64D4738E"/>
    <w:multiLevelType w:val="hybridMultilevel"/>
    <w:tmpl w:val="D02CD702"/>
    <w:lvl w:ilvl="0" w:tplc="E350FE1A">
      <w:start w:val="1"/>
      <w:numFmt w:val="lowerLetter"/>
      <w:lvlText w:val="%1)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hu-HU" w:bidi="hu-HU"/>
      </w:rPr>
    </w:lvl>
    <w:lvl w:ilvl="1" w:tplc="C8F05736">
      <w:numFmt w:val="bullet"/>
      <w:lvlText w:val="•"/>
      <w:lvlJc w:val="left"/>
      <w:pPr>
        <w:ind w:left="1062" w:hanging="214"/>
      </w:pPr>
      <w:rPr>
        <w:rFonts w:hint="default"/>
        <w:lang w:val="hu-HU" w:eastAsia="hu-HU" w:bidi="hu-HU"/>
      </w:rPr>
    </w:lvl>
    <w:lvl w:ilvl="2" w:tplc="2B581D00">
      <w:numFmt w:val="bullet"/>
      <w:lvlText w:val="•"/>
      <w:lvlJc w:val="left"/>
      <w:pPr>
        <w:ind w:left="2025" w:hanging="214"/>
      </w:pPr>
      <w:rPr>
        <w:rFonts w:hint="default"/>
        <w:lang w:val="hu-HU" w:eastAsia="hu-HU" w:bidi="hu-HU"/>
      </w:rPr>
    </w:lvl>
    <w:lvl w:ilvl="3" w:tplc="050618B8">
      <w:numFmt w:val="bullet"/>
      <w:lvlText w:val="•"/>
      <w:lvlJc w:val="left"/>
      <w:pPr>
        <w:ind w:left="2987" w:hanging="214"/>
      </w:pPr>
      <w:rPr>
        <w:rFonts w:hint="default"/>
        <w:lang w:val="hu-HU" w:eastAsia="hu-HU" w:bidi="hu-HU"/>
      </w:rPr>
    </w:lvl>
    <w:lvl w:ilvl="4" w:tplc="C2585B66">
      <w:numFmt w:val="bullet"/>
      <w:lvlText w:val="•"/>
      <w:lvlJc w:val="left"/>
      <w:pPr>
        <w:ind w:left="3950" w:hanging="214"/>
      </w:pPr>
      <w:rPr>
        <w:rFonts w:hint="default"/>
        <w:lang w:val="hu-HU" w:eastAsia="hu-HU" w:bidi="hu-HU"/>
      </w:rPr>
    </w:lvl>
    <w:lvl w:ilvl="5" w:tplc="EDC68DF6">
      <w:numFmt w:val="bullet"/>
      <w:lvlText w:val="•"/>
      <w:lvlJc w:val="left"/>
      <w:pPr>
        <w:ind w:left="4913" w:hanging="214"/>
      </w:pPr>
      <w:rPr>
        <w:rFonts w:hint="default"/>
        <w:lang w:val="hu-HU" w:eastAsia="hu-HU" w:bidi="hu-HU"/>
      </w:rPr>
    </w:lvl>
    <w:lvl w:ilvl="6" w:tplc="8DBE3302">
      <w:numFmt w:val="bullet"/>
      <w:lvlText w:val="•"/>
      <w:lvlJc w:val="left"/>
      <w:pPr>
        <w:ind w:left="5875" w:hanging="214"/>
      </w:pPr>
      <w:rPr>
        <w:rFonts w:hint="default"/>
        <w:lang w:val="hu-HU" w:eastAsia="hu-HU" w:bidi="hu-HU"/>
      </w:rPr>
    </w:lvl>
    <w:lvl w:ilvl="7" w:tplc="4266B688">
      <w:numFmt w:val="bullet"/>
      <w:lvlText w:val="•"/>
      <w:lvlJc w:val="left"/>
      <w:pPr>
        <w:ind w:left="6838" w:hanging="214"/>
      </w:pPr>
      <w:rPr>
        <w:rFonts w:hint="default"/>
        <w:lang w:val="hu-HU" w:eastAsia="hu-HU" w:bidi="hu-HU"/>
      </w:rPr>
    </w:lvl>
    <w:lvl w:ilvl="8" w:tplc="2C6C7F88">
      <w:numFmt w:val="bullet"/>
      <w:lvlText w:val="•"/>
      <w:lvlJc w:val="left"/>
      <w:pPr>
        <w:ind w:left="7801" w:hanging="214"/>
      </w:pPr>
      <w:rPr>
        <w:rFonts w:hint="default"/>
        <w:lang w:val="hu-HU" w:eastAsia="hu-HU" w:bidi="hu-HU"/>
      </w:rPr>
    </w:lvl>
  </w:abstractNum>
  <w:abstractNum w:abstractNumId="6" w15:restartNumberingAfterBreak="0">
    <w:nsid w:val="70FF493E"/>
    <w:multiLevelType w:val="hybridMultilevel"/>
    <w:tmpl w:val="26EC8788"/>
    <w:lvl w:ilvl="0" w:tplc="DDB85D00">
      <w:start w:val="1"/>
      <w:numFmt w:val="lowerLetter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hu-HU" w:bidi="hu-HU"/>
      </w:rPr>
    </w:lvl>
    <w:lvl w:ilvl="1" w:tplc="671E6D8E">
      <w:numFmt w:val="bullet"/>
      <w:lvlText w:val="•"/>
      <w:lvlJc w:val="left"/>
      <w:pPr>
        <w:ind w:left="1296" w:hanging="260"/>
      </w:pPr>
      <w:rPr>
        <w:rFonts w:hint="default"/>
        <w:lang w:val="hu-HU" w:eastAsia="hu-HU" w:bidi="hu-HU"/>
      </w:rPr>
    </w:lvl>
    <w:lvl w:ilvl="2" w:tplc="3A7ADB62">
      <w:numFmt w:val="bullet"/>
      <w:lvlText w:val="•"/>
      <w:lvlJc w:val="left"/>
      <w:pPr>
        <w:ind w:left="2233" w:hanging="260"/>
      </w:pPr>
      <w:rPr>
        <w:rFonts w:hint="default"/>
        <w:lang w:val="hu-HU" w:eastAsia="hu-HU" w:bidi="hu-HU"/>
      </w:rPr>
    </w:lvl>
    <w:lvl w:ilvl="3" w:tplc="DF7C2730">
      <w:numFmt w:val="bullet"/>
      <w:lvlText w:val="•"/>
      <w:lvlJc w:val="left"/>
      <w:pPr>
        <w:ind w:left="3169" w:hanging="260"/>
      </w:pPr>
      <w:rPr>
        <w:rFonts w:hint="default"/>
        <w:lang w:val="hu-HU" w:eastAsia="hu-HU" w:bidi="hu-HU"/>
      </w:rPr>
    </w:lvl>
    <w:lvl w:ilvl="4" w:tplc="C8B45BE6">
      <w:numFmt w:val="bullet"/>
      <w:lvlText w:val="•"/>
      <w:lvlJc w:val="left"/>
      <w:pPr>
        <w:ind w:left="4106" w:hanging="260"/>
      </w:pPr>
      <w:rPr>
        <w:rFonts w:hint="default"/>
        <w:lang w:val="hu-HU" w:eastAsia="hu-HU" w:bidi="hu-HU"/>
      </w:rPr>
    </w:lvl>
    <w:lvl w:ilvl="5" w:tplc="210E8A60">
      <w:numFmt w:val="bullet"/>
      <w:lvlText w:val="•"/>
      <w:lvlJc w:val="left"/>
      <w:pPr>
        <w:ind w:left="5043" w:hanging="260"/>
      </w:pPr>
      <w:rPr>
        <w:rFonts w:hint="default"/>
        <w:lang w:val="hu-HU" w:eastAsia="hu-HU" w:bidi="hu-HU"/>
      </w:rPr>
    </w:lvl>
    <w:lvl w:ilvl="6" w:tplc="16E25EBC">
      <w:numFmt w:val="bullet"/>
      <w:lvlText w:val="•"/>
      <w:lvlJc w:val="left"/>
      <w:pPr>
        <w:ind w:left="5979" w:hanging="260"/>
      </w:pPr>
      <w:rPr>
        <w:rFonts w:hint="default"/>
        <w:lang w:val="hu-HU" w:eastAsia="hu-HU" w:bidi="hu-HU"/>
      </w:rPr>
    </w:lvl>
    <w:lvl w:ilvl="7" w:tplc="C46875DA">
      <w:numFmt w:val="bullet"/>
      <w:lvlText w:val="•"/>
      <w:lvlJc w:val="left"/>
      <w:pPr>
        <w:ind w:left="6916" w:hanging="260"/>
      </w:pPr>
      <w:rPr>
        <w:rFonts w:hint="default"/>
        <w:lang w:val="hu-HU" w:eastAsia="hu-HU" w:bidi="hu-HU"/>
      </w:rPr>
    </w:lvl>
    <w:lvl w:ilvl="8" w:tplc="A2A8B106">
      <w:numFmt w:val="bullet"/>
      <w:lvlText w:val="•"/>
      <w:lvlJc w:val="left"/>
      <w:pPr>
        <w:ind w:left="7853" w:hanging="260"/>
      </w:pPr>
      <w:rPr>
        <w:rFonts w:hint="default"/>
        <w:lang w:val="hu-HU" w:eastAsia="hu-HU" w:bidi="hu-HU"/>
      </w:rPr>
    </w:lvl>
  </w:abstractNum>
  <w:abstractNum w:abstractNumId="7" w15:restartNumberingAfterBreak="0">
    <w:nsid w:val="72B016EA"/>
    <w:multiLevelType w:val="hybridMultilevel"/>
    <w:tmpl w:val="530A400E"/>
    <w:lvl w:ilvl="0" w:tplc="A6AEE47A">
      <w:start w:val="1"/>
      <w:numFmt w:val="decimal"/>
      <w:lvlText w:val="%1."/>
      <w:lvlJc w:val="left"/>
      <w:pPr>
        <w:ind w:left="677" w:hanging="284"/>
      </w:pPr>
      <w:rPr>
        <w:rFonts w:ascii="Playfair Display" w:eastAsia="Times New Roman" w:hAnsi="Playfair Display" w:cs="Times New Roman" w:hint="default"/>
        <w:b/>
        <w:bCs/>
        <w:w w:val="100"/>
        <w:sz w:val="20"/>
        <w:szCs w:val="22"/>
        <w:lang w:val="hu-HU" w:eastAsia="hu-HU" w:bidi="hu-HU"/>
      </w:rPr>
    </w:lvl>
    <w:lvl w:ilvl="1" w:tplc="DF789E8E">
      <w:numFmt w:val="bullet"/>
      <w:lvlText w:val="•"/>
      <w:lvlJc w:val="left"/>
      <w:pPr>
        <w:ind w:left="1584" w:hanging="284"/>
      </w:pPr>
      <w:rPr>
        <w:rFonts w:hint="default"/>
        <w:lang w:val="hu-HU" w:eastAsia="hu-HU" w:bidi="hu-HU"/>
      </w:rPr>
    </w:lvl>
    <w:lvl w:ilvl="2" w:tplc="2F7AA834">
      <w:numFmt w:val="bullet"/>
      <w:lvlText w:val="•"/>
      <w:lvlJc w:val="left"/>
      <w:pPr>
        <w:ind w:left="2489" w:hanging="284"/>
      </w:pPr>
      <w:rPr>
        <w:rFonts w:hint="default"/>
        <w:lang w:val="hu-HU" w:eastAsia="hu-HU" w:bidi="hu-HU"/>
      </w:rPr>
    </w:lvl>
    <w:lvl w:ilvl="3" w:tplc="4036B38E">
      <w:numFmt w:val="bullet"/>
      <w:lvlText w:val="•"/>
      <w:lvlJc w:val="left"/>
      <w:pPr>
        <w:ind w:left="3393" w:hanging="284"/>
      </w:pPr>
      <w:rPr>
        <w:rFonts w:hint="default"/>
        <w:lang w:val="hu-HU" w:eastAsia="hu-HU" w:bidi="hu-HU"/>
      </w:rPr>
    </w:lvl>
    <w:lvl w:ilvl="4" w:tplc="05527ED4">
      <w:numFmt w:val="bullet"/>
      <w:lvlText w:val="•"/>
      <w:lvlJc w:val="left"/>
      <w:pPr>
        <w:ind w:left="4298" w:hanging="284"/>
      </w:pPr>
      <w:rPr>
        <w:rFonts w:hint="default"/>
        <w:lang w:val="hu-HU" w:eastAsia="hu-HU" w:bidi="hu-HU"/>
      </w:rPr>
    </w:lvl>
    <w:lvl w:ilvl="5" w:tplc="12F0E114">
      <w:numFmt w:val="bullet"/>
      <w:lvlText w:val="•"/>
      <w:lvlJc w:val="left"/>
      <w:pPr>
        <w:ind w:left="5203" w:hanging="284"/>
      </w:pPr>
      <w:rPr>
        <w:rFonts w:hint="default"/>
        <w:lang w:val="hu-HU" w:eastAsia="hu-HU" w:bidi="hu-HU"/>
      </w:rPr>
    </w:lvl>
    <w:lvl w:ilvl="6" w:tplc="4BA21C4A">
      <w:numFmt w:val="bullet"/>
      <w:lvlText w:val="•"/>
      <w:lvlJc w:val="left"/>
      <w:pPr>
        <w:ind w:left="6107" w:hanging="284"/>
      </w:pPr>
      <w:rPr>
        <w:rFonts w:hint="default"/>
        <w:lang w:val="hu-HU" w:eastAsia="hu-HU" w:bidi="hu-HU"/>
      </w:rPr>
    </w:lvl>
    <w:lvl w:ilvl="7" w:tplc="BA18CC36">
      <w:numFmt w:val="bullet"/>
      <w:lvlText w:val="•"/>
      <w:lvlJc w:val="left"/>
      <w:pPr>
        <w:ind w:left="7012" w:hanging="284"/>
      </w:pPr>
      <w:rPr>
        <w:rFonts w:hint="default"/>
        <w:lang w:val="hu-HU" w:eastAsia="hu-HU" w:bidi="hu-HU"/>
      </w:rPr>
    </w:lvl>
    <w:lvl w:ilvl="8" w:tplc="AD004DD4">
      <w:numFmt w:val="bullet"/>
      <w:lvlText w:val="•"/>
      <w:lvlJc w:val="left"/>
      <w:pPr>
        <w:ind w:left="7917" w:hanging="284"/>
      </w:pPr>
      <w:rPr>
        <w:rFonts w:hint="default"/>
        <w:lang w:val="hu-HU" w:eastAsia="hu-HU" w:bidi="hu-HU"/>
      </w:rPr>
    </w:lvl>
  </w:abstractNum>
  <w:abstractNum w:abstractNumId="8" w15:restartNumberingAfterBreak="0">
    <w:nsid w:val="74D323D9"/>
    <w:multiLevelType w:val="hybridMultilevel"/>
    <w:tmpl w:val="01D2505C"/>
    <w:lvl w:ilvl="0" w:tplc="6232B156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u-HU" w:eastAsia="hu-HU" w:bidi="hu-HU"/>
      </w:rPr>
    </w:lvl>
    <w:lvl w:ilvl="1" w:tplc="9BCA0422">
      <w:start w:val="1"/>
      <w:numFmt w:val="lowerLetter"/>
      <w:lvlText w:val="%2)"/>
      <w:lvlJc w:val="left"/>
      <w:pPr>
        <w:ind w:left="487" w:hanging="238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hu-HU" w:eastAsia="hu-HU" w:bidi="hu-HU"/>
      </w:rPr>
    </w:lvl>
    <w:lvl w:ilvl="2" w:tplc="DCE4AEA2">
      <w:numFmt w:val="bullet"/>
      <w:lvlText w:val="-"/>
      <w:lvlJc w:val="left"/>
      <w:pPr>
        <w:ind w:left="53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3" w:tplc="0AEEACDE">
      <w:numFmt w:val="bullet"/>
      <w:lvlText w:val="•"/>
      <w:lvlJc w:val="left"/>
      <w:pPr>
        <w:ind w:left="1688" w:hanging="212"/>
      </w:pPr>
      <w:rPr>
        <w:rFonts w:hint="default"/>
        <w:lang w:val="hu-HU" w:eastAsia="hu-HU" w:bidi="hu-HU"/>
      </w:rPr>
    </w:lvl>
    <w:lvl w:ilvl="4" w:tplc="41C481C0">
      <w:numFmt w:val="bullet"/>
      <w:lvlText w:val="•"/>
      <w:lvlJc w:val="left"/>
      <w:pPr>
        <w:ind w:left="2836" w:hanging="212"/>
      </w:pPr>
      <w:rPr>
        <w:rFonts w:hint="default"/>
        <w:lang w:val="hu-HU" w:eastAsia="hu-HU" w:bidi="hu-HU"/>
      </w:rPr>
    </w:lvl>
    <w:lvl w:ilvl="5" w:tplc="3E02476A">
      <w:numFmt w:val="bullet"/>
      <w:lvlText w:val="•"/>
      <w:lvlJc w:val="left"/>
      <w:pPr>
        <w:ind w:left="3984" w:hanging="212"/>
      </w:pPr>
      <w:rPr>
        <w:rFonts w:hint="default"/>
        <w:lang w:val="hu-HU" w:eastAsia="hu-HU" w:bidi="hu-HU"/>
      </w:rPr>
    </w:lvl>
    <w:lvl w:ilvl="6" w:tplc="44DAB048">
      <w:numFmt w:val="bullet"/>
      <w:lvlText w:val="•"/>
      <w:lvlJc w:val="left"/>
      <w:pPr>
        <w:ind w:left="5133" w:hanging="212"/>
      </w:pPr>
      <w:rPr>
        <w:rFonts w:hint="default"/>
        <w:lang w:val="hu-HU" w:eastAsia="hu-HU" w:bidi="hu-HU"/>
      </w:rPr>
    </w:lvl>
    <w:lvl w:ilvl="7" w:tplc="668ED78A">
      <w:numFmt w:val="bullet"/>
      <w:lvlText w:val="•"/>
      <w:lvlJc w:val="left"/>
      <w:pPr>
        <w:ind w:left="6281" w:hanging="212"/>
      </w:pPr>
      <w:rPr>
        <w:rFonts w:hint="default"/>
        <w:lang w:val="hu-HU" w:eastAsia="hu-HU" w:bidi="hu-HU"/>
      </w:rPr>
    </w:lvl>
    <w:lvl w:ilvl="8" w:tplc="7CB0135C">
      <w:numFmt w:val="bullet"/>
      <w:lvlText w:val="•"/>
      <w:lvlJc w:val="left"/>
      <w:pPr>
        <w:ind w:left="7429" w:hanging="212"/>
      </w:pPr>
      <w:rPr>
        <w:rFonts w:hint="default"/>
        <w:lang w:val="hu-HU" w:eastAsia="hu-HU" w:bidi="hu-HU"/>
      </w:rPr>
    </w:lvl>
  </w:abstractNum>
  <w:abstractNum w:abstractNumId="9" w15:restartNumberingAfterBreak="0">
    <w:nsid w:val="797E1C9E"/>
    <w:multiLevelType w:val="hybridMultilevel"/>
    <w:tmpl w:val="30D24BBE"/>
    <w:lvl w:ilvl="0" w:tplc="40F4514A">
      <w:numFmt w:val="bullet"/>
      <w:lvlText w:val="-"/>
      <w:lvlJc w:val="left"/>
      <w:pPr>
        <w:ind w:left="53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EE6AF704">
      <w:numFmt w:val="bullet"/>
      <w:lvlText w:val="•"/>
      <w:lvlJc w:val="left"/>
      <w:pPr>
        <w:ind w:left="1458" w:hanging="125"/>
      </w:pPr>
      <w:rPr>
        <w:rFonts w:hint="default"/>
        <w:lang w:val="hu-HU" w:eastAsia="hu-HU" w:bidi="hu-HU"/>
      </w:rPr>
    </w:lvl>
    <w:lvl w:ilvl="2" w:tplc="0608D142">
      <w:numFmt w:val="bullet"/>
      <w:lvlText w:val="•"/>
      <w:lvlJc w:val="left"/>
      <w:pPr>
        <w:ind w:left="2377" w:hanging="125"/>
      </w:pPr>
      <w:rPr>
        <w:rFonts w:hint="default"/>
        <w:lang w:val="hu-HU" w:eastAsia="hu-HU" w:bidi="hu-HU"/>
      </w:rPr>
    </w:lvl>
    <w:lvl w:ilvl="3" w:tplc="4FB65258">
      <w:numFmt w:val="bullet"/>
      <w:lvlText w:val="•"/>
      <w:lvlJc w:val="left"/>
      <w:pPr>
        <w:ind w:left="3295" w:hanging="125"/>
      </w:pPr>
      <w:rPr>
        <w:rFonts w:hint="default"/>
        <w:lang w:val="hu-HU" w:eastAsia="hu-HU" w:bidi="hu-HU"/>
      </w:rPr>
    </w:lvl>
    <w:lvl w:ilvl="4" w:tplc="534AA398">
      <w:numFmt w:val="bullet"/>
      <w:lvlText w:val="•"/>
      <w:lvlJc w:val="left"/>
      <w:pPr>
        <w:ind w:left="4214" w:hanging="125"/>
      </w:pPr>
      <w:rPr>
        <w:rFonts w:hint="default"/>
        <w:lang w:val="hu-HU" w:eastAsia="hu-HU" w:bidi="hu-HU"/>
      </w:rPr>
    </w:lvl>
    <w:lvl w:ilvl="5" w:tplc="6E3C6118">
      <w:numFmt w:val="bullet"/>
      <w:lvlText w:val="•"/>
      <w:lvlJc w:val="left"/>
      <w:pPr>
        <w:ind w:left="5133" w:hanging="125"/>
      </w:pPr>
      <w:rPr>
        <w:rFonts w:hint="default"/>
        <w:lang w:val="hu-HU" w:eastAsia="hu-HU" w:bidi="hu-HU"/>
      </w:rPr>
    </w:lvl>
    <w:lvl w:ilvl="6" w:tplc="70EC6E88">
      <w:numFmt w:val="bullet"/>
      <w:lvlText w:val="•"/>
      <w:lvlJc w:val="left"/>
      <w:pPr>
        <w:ind w:left="6051" w:hanging="125"/>
      </w:pPr>
      <w:rPr>
        <w:rFonts w:hint="default"/>
        <w:lang w:val="hu-HU" w:eastAsia="hu-HU" w:bidi="hu-HU"/>
      </w:rPr>
    </w:lvl>
    <w:lvl w:ilvl="7" w:tplc="DDD2603C">
      <w:numFmt w:val="bullet"/>
      <w:lvlText w:val="•"/>
      <w:lvlJc w:val="left"/>
      <w:pPr>
        <w:ind w:left="6970" w:hanging="125"/>
      </w:pPr>
      <w:rPr>
        <w:rFonts w:hint="default"/>
        <w:lang w:val="hu-HU" w:eastAsia="hu-HU" w:bidi="hu-HU"/>
      </w:rPr>
    </w:lvl>
    <w:lvl w:ilvl="8" w:tplc="7582A066">
      <w:numFmt w:val="bullet"/>
      <w:lvlText w:val="•"/>
      <w:lvlJc w:val="left"/>
      <w:pPr>
        <w:ind w:left="7889" w:hanging="125"/>
      </w:pPr>
      <w:rPr>
        <w:rFonts w:hint="default"/>
        <w:lang w:val="hu-HU" w:eastAsia="hu-HU" w:bidi="hu-HU"/>
      </w:rPr>
    </w:lvl>
  </w:abstractNum>
  <w:abstractNum w:abstractNumId="10" w15:restartNumberingAfterBreak="0">
    <w:nsid w:val="7C1048D5"/>
    <w:multiLevelType w:val="hybridMultilevel"/>
    <w:tmpl w:val="128866C0"/>
    <w:lvl w:ilvl="0" w:tplc="49CC946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85194637">
    <w:abstractNumId w:val="9"/>
  </w:num>
  <w:num w:numId="2" w16cid:durableId="182668949">
    <w:abstractNumId w:val="2"/>
  </w:num>
  <w:num w:numId="3" w16cid:durableId="1691763234">
    <w:abstractNumId w:val="8"/>
  </w:num>
  <w:num w:numId="4" w16cid:durableId="33046064">
    <w:abstractNumId w:val="0"/>
  </w:num>
  <w:num w:numId="5" w16cid:durableId="1277175517">
    <w:abstractNumId w:val="3"/>
  </w:num>
  <w:num w:numId="6" w16cid:durableId="990255929">
    <w:abstractNumId w:val="6"/>
  </w:num>
  <w:num w:numId="7" w16cid:durableId="1762098785">
    <w:abstractNumId w:val="5"/>
  </w:num>
  <w:num w:numId="8" w16cid:durableId="959187014">
    <w:abstractNumId w:val="7"/>
  </w:num>
  <w:num w:numId="9" w16cid:durableId="620771469">
    <w:abstractNumId w:val="4"/>
  </w:num>
  <w:num w:numId="10" w16cid:durableId="274101069">
    <w:abstractNumId w:val="1"/>
  </w:num>
  <w:num w:numId="11" w16cid:durableId="1550343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A"/>
    <w:rsid w:val="000407B2"/>
    <w:rsid w:val="000638C7"/>
    <w:rsid w:val="000C367E"/>
    <w:rsid w:val="00177A9F"/>
    <w:rsid w:val="001B0122"/>
    <w:rsid w:val="00232128"/>
    <w:rsid w:val="00254FF1"/>
    <w:rsid w:val="0039350C"/>
    <w:rsid w:val="003A2BC2"/>
    <w:rsid w:val="00432435"/>
    <w:rsid w:val="005A5C5F"/>
    <w:rsid w:val="0068466C"/>
    <w:rsid w:val="006F1CE2"/>
    <w:rsid w:val="00701797"/>
    <w:rsid w:val="009148FE"/>
    <w:rsid w:val="00A5574E"/>
    <w:rsid w:val="00B659A0"/>
    <w:rsid w:val="00CA599E"/>
    <w:rsid w:val="00F1788A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D37B3"/>
  <w15:docId w15:val="{0BDD1402-0DF8-460A-B00C-B2645CFB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34"/>
    <w:qFormat/>
    <w:pPr>
      <w:spacing w:before="21"/>
      <w:ind w:left="516" w:hanging="125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F330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307A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F330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307A"/>
    <w:rPr>
      <w:rFonts w:ascii="Times New Roman" w:eastAsia="Times New Roman" w:hAnsi="Times New Roman" w:cs="Times New Roman"/>
      <w:lang w:val="hu-HU" w:eastAsia="hu-HU" w:bidi="hu-HU"/>
    </w:rPr>
  </w:style>
  <w:style w:type="paragraph" w:styleId="Lbjegyzetszveg">
    <w:name w:val="footnote text"/>
    <w:basedOn w:val="Norml"/>
    <w:link w:val="LbjegyzetszvegChar"/>
    <w:uiPriority w:val="99"/>
    <w:unhideWhenUsed/>
    <w:rsid w:val="00F330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3307A"/>
    <w:rPr>
      <w:rFonts w:ascii="Times New Roman" w:eastAsia="Times New Roman" w:hAnsi="Times New Roman" w:cs="Times New Roman"/>
      <w:sz w:val="20"/>
      <w:szCs w:val="20"/>
      <w:lang w:val="hu-HU"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33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7" ma:contentTypeDescription="Új dokumentum létrehozása." ma:contentTypeScope="" ma:versionID="ae97f0d6bffc07a8f0df1fe8ca3a37b4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3e3129bc308700fa6c150a0be7ef38e0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Props1.xml><?xml version="1.0" encoding="utf-8"?>
<ds:datastoreItem xmlns:ds="http://schemas.openxmlformats.org/officeDocument/2006/customXml" ds:itemID="{AD8A5EBC-CD8D-4473-B29C-E20E50A3B8D1}"/>
</file>

<file path=customXml/itemProps2.xml><?xml version="1.0" encoding="utf-8"?>
<ds:datastoreItem xmlns:ds="http://schemas.openxmlformats.org/officeDocument/2006/customXml" ds:itemID="{2823BB26-8EC8-4BAA-B96F-A8B1B6E44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7574D-2768-4E70-AE2D-A0210BDA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2E5EB-89FF-4A68-AC29-2F154C9FBFA5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1280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MAB ALAP-, ÉS MESTERKÉPZÉSI SZAKOK  INDÍTÁSÁRA VONATKOZÓ</vt:lpstr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MAB ALAP-, ÉS MESTERKÉPZÉSI SZAKOK  INDÍTÁSÁRA VONATKOZÓ</dc:title>
  <dc:creator>Halmay Nóra</dc:creator>
  <cp:lastModifiedBy>Szlivka Andrea</cp:lastModifiedBy>
  <cp:revision>16</cp:revision>
  <dcterms:created xsi:type="dcterms:W3CDTF">2019-08-06T09:35:00Z</dcterms:created>
  <dcterms:modified xsi:type="dcterms:W3CDTF">2022-11-04T16:49:00Z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2019-08-06T00:00:00Z</vt:filetime>
  </property>
  <property fmtid="{D5CDD505-2E9C-101B-9397-08002B2CF9AE}" pid="5" name="ContentTypeId">
    <vt:lpwstr>0x0101001B7BAE2063BBBA498E7FA3450EDCBBE9</vt:lpwstr>
  </property>
  <property fmtid="{D5CDD505-2E9C-101B-9397-08002B2CF9AE}" pid="6" name="MediaServiceImageTags">
    <vt:lpwstr/>
  </property>
</Properties>
</file>