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1B786" w14:textId="516EFA33" w:rsidR="004856A2" w:rsidRPr="000F1A4C" w:rsidRDefault="00D95180" w:rsidP="003861C9">
      <w:pPr>
        <w:tabs>
          <w:tab w:val="center" w:pos="4536"/>
          <w:tab w:val="left" w:pos="6466"/>
        </w:tabs>
        <w:spacing w:before="2800" w:after="240" w:line="240" w:lineRule="auto"/>
        <w:jc w:val="center"/>
        <w:rPr>
          <w:rFonts w:ascii="Playfair Display" w:hAnsi="Playfair Display" w:cs="Times New Roman"/>
          <w:sz w:val="40"/>
          <w:szCs w:val="40"/>
        </w:rPr>
      </w:pPr>
      <w:r>
        <w:rPr>
          <w:rFonts w:ascii="Playfair Display" w:hAnsi="Playfair Display" w:cs="Times New Roman"/>
          <w:sz w:val="40"/>
          <w:szCs w:val="40"/>
        </w:rPr>
        <w:t>[</w:t>
      </w:r>
      <w:r w:rsidR="00451126" w:rsidRPr="000F1A4C">
        <w:rPr>
          <w:rFonts w:ascii="Playfair Display" w:hAnsi="Playfair Display" w:cs="Times New Roman"/>
          <w:sz w:val="40"/>
          <w:szCs w:val="40"/>
        </w:rPr>
        <w:t>F</w:t>
      </w:r>
      <w:r w:rsidR="00167FB3" w:rsidRPr="000F1A4C">
        <w:rPr>
          <w:rFonts w:ascii="Playfair Display" w:hAnsi="Playfair Display" w:cs="Times New Roman"/>
          <w:sz w:val="40"/>
          <w:szCs w:val="40"/>
        </w:rPr>
        <w:t>elsőoktatási intézmény neve</w:t>
      </w:r>
      <w:r>
        <w:rPr>
          <w:rFonts w:ascii="Playfair Display" w:hAnsi="Playfair Display" w:cs="Times New Roman"/>
          <w:sz w:val="40"/>
          <w:szCs w:val="40"/>
        </w:rPr>
        <w:t>]</w:t>
      </w:r>
    </w:p>
    <w:p w14:paraId="2E8B86E9" w14:textId="3731A128" w:rsidR="003C1E88" w:rsidRDefault="00D95180" w:rsidP="003C1E88">
      <w:pPr>
        <w:spacing w:beforeLines="60" w:before="144" w:afterLines="60" w:after="144" w:line="240" w:lineRule="auto"/>
        <w:jc w:val="center"/>
        <w:rPr>
          <w:rFonts w:ascii="Playfair Display" w:hAnsi="Playfair Display" w:cs="Times New Roman"/>
          <w:sz w:val="48"/>
          <w:szCs w:val="48"/>
        </w:rPr>
      </w:pPr>
      <w:r>
        <w:rPr>
          <w:rFonts w:ascii="Playfair Display" w:hAnsi="Playfair Display" w:cs="Times New Roman"/>
          <w:sz w:val="48"/>
          <w:szCs w:val="48"/>
        </w:rPr>
        <w:t>[</w:t>
      </w:r>
      <w:r w:rsidR="00167FB3" w:rsidRPr="000F1A4C">
        <w:rPr>
          <w:rFonts w:ascii="Playfair Display" w:hAnsi="Playfair Display" w:cs="Times New Roman"/>
          <w:sz w:val="48"/>
          <w:szCs w:val="48"/>
        </w:rPr>
        <w:t xml:space="preserve">Doktori iskola </w:t>
      </w:r>
      <w:r w:rsidR="00107080" w:rsidRPr="000F1A4C">
        <w:rPr>
          <w:rFonts w:ascii="Playfair Display" w:hAnsi="Playfair Display" w:cs="Times New Roman"/>
          <w:sz w:val="48"/>
          <w:szCs w:val="48"/>
        </w:rPr>
        <w:t>neve</w:t>
      </w:r>
      <w:r>
        <w:rPr>
          <w:rFonts w:ascii="Playfair Display" w:hAnsi="Playfair Display" w:cs="Times New Roman"/>
          <w:sz w:val="48"/>
          <w:szCs w:val="48"/>
        </w:rPr>
        <w:t>]</w:t>
      </w:r>
    </w:p>
    <w:p w14:paraId="55E64E89" w14:textId="58B41C6C" w:rsidR="00D95180" w:rsidRPr="00D95180" w:rsidRDefault="00D95180" w:rsidP="003C1E88">
      <w:pPr>
        <w:spacing w:beforeLines="60" w:before="144" w:afterLines="60" w:after="144" w:line="240" w:lineRule="auto"/>
        <w:jc w:val="center"/>
        <w:rPr>
          <w:rFonts w:ascii="Playfair Display" w:hAnsi="Playfair Display" w:cs="Times New Roman"/>
          <w:sz w:val="32"/>
          <w:szCs w:val="32"/>
        </w:rPr>
      </w:pPr>
      <w:r w:rsidRPr="00D95180">
        <w:rPr>
          <w:rFonts w:ascii="Playfair Display" w:hAnsi="Playfair Display" w:cs="Times New Roman"/>
          <w:sz w:val="32"/>
          <w:szCs w:val="32"/>
        </w:rPr>
        <w:t>DI azonosítója</w:t>
      </w:r>
      <w:r w:rsidR="007E714B">
        <w:rPr>
          <w:rStyle w:val="Lbjegyzet-hivatkozs"/>
          <w:rFonts w:ascii="Playfair Display" w:hAnsi="Playfair Display" w:cs="Times New Roman"/>
          <w:sz w:val="32"/>
          <w:szCs w:val="32"/>
        </w:rPr>
        <w:footnoteReference w:id="1"/>
      </w:r>
      <w:r w:rsidRPr="00D95180">
        <w:rPr>
          <w:rFonts w:ascii="Playfair Display" w:hAnsi="Playfair Display" w:cs="Times New Roman"/>
          <w:sz w:val="32"/>
          <w:szCs w:val="32"/>
        </w:rPr>
        <w:t xml:space="preserve">: </w:t>
      </w:r>
      <w:r w:rsidR="0071654F">
        <w:rPr>
          <w:rFonts w:ascii="Playfair Display" w:hAnsi="Playfair Display" w:cs="Times New Roman"/>
          <w:sz w:val="32"/>
          <w:szCs w:val="32"/>
        </w:rPr>
        <w:t>[</w:t>
      </w:r>
      <w:r w:rsidRPr="00D95180">
        <w:rPr>
          <w:rFonts w:ascii="Playfair Display" w:hAnsi="Playfair Display" w:cs="Times New Roman"/>
          <w:i/>
          <w:iCs/>
          <w:sz w:val="32"/>
          <w:szCs w:val="32"/>
        </w:rPr>
        <w:t>pl. D999</w:t>
      </w:r>
      <w:r w:rsidR="0071654F" w:rsidRPr="0071654F">
        <w:rPr>
          <w:rFonts w:ascii="Playfair Display" w:hAnsi="Playfair Display" w:cs="Times New Roman"/>
          <w:sz w:val="32"/>
          <w:szCs w:val="32"/>
        </w:rPr>
        <w:t>]</w:t>
      </w:r>
    </w:p>
    <w:p w14:paraId="188A74D0" w14:textId="4FDDC9DB" w:rsidR="003C1E88" w:rsidRPr="000F1A4C" w:rsidRDefault="770F69C4" w:rsidP="22F29152">
      <w:pPr>
        <w:spacing w:before="240" w:afterLines="60" w:after="144" w:line="240" w:lineRule="auto"/>
        <w:jc w:val="center"/>
        <w:rPr>
          <w:rFonts w:ascii="Playfair Display" w:hAnsi="Playfair Display" w:cs="Times New Roman"/>
          <w:i/>
          <w:iCs/>
          <w:sz w:val="28"/>
          <w:szCs w:val="28"/>
        </w:rPr>
      </w:pPr>
      <w:r w:rsidRPr="22F29152">
        <w:rPr>
          <w:rFonts w:ascii="Playfair Display" w:hAnsi="Playfair Display" w:cs="Times New Roman"/>
          <w:i/>
          <w:iCs/>
          <w:sz w:val="28"/>
          <w:szCs w:val="28"/>
        </w:rPr>
        <w:t>Ö</w:t>
      </w:r>
      <w:r w:rsidR="003861C9" w:rsidRPr="22F29152">
        <w:rPr>
          <w:rFonts w:ascii="Playfair Display" w:hAnsi="Playfair Display" w:cs="Times New Roman"/>
          <w:i/>
          <w:iCs/>
          <w:sz w:val="28"/>
          <w:szCs w:val="28"/>
        </w:rPr>
        <w:t>nértékelési eszköz</w:t>
      </w:r>
      <w:r w:rsidR="095172FC" w:rsidRPr="22F29152">
        <w:rPr>
          <w:rFonts w:ascii="Playfair Display" w:hAnsi="Playfair Display" w:cs="Times New Roman"/>
          <w:i/>
          <w:iCs/>
          <w:sz w:val="28"/>
          <w:szCs w:val="28"/>
        </w:rPr>
        <w:t xml:space="preserve"> ESG-alapú akkreditációs eljáráshoz</w:t>
      </w:r>
    </w:p>
    <w:p w14:paraId="6C44DE77" w14:textId="1B650DE9" w:rsidR="003C1E88" w:rsidRPr="000F1A4C" w:rsidRDefault="003C1E88" w:rsidP="003C1E88">
      <w:pPr>
        <w:spacing w:before="600" w:after="0" w:line="240" w:lineRule="auto"/>
        <w:jc w:val="center"/>
        <w:rPr>
          <w:rFonts w:ascii="Playfair Display" w:hAnsi="Playfair Display" w:cs="Times New Roman"/>
          <w:i/>
          <w:iCs/>
        </w:rPr>
      </w:pPr>
      <w:r w:rsidRPr="000F1A4C">
        <w:rPr>
          <w:rFonts w:ascii="Playfair Display" w:hAnsi="Playfair Display" w:cs="Times New Roman"/>
          <w:i/>
          <w:iCs/>
        </w:rPr>
        <w:t>Jóváhagyás dátuma:</w:t>
      </w:r>
      <w:r w:rsidR="00167FB3" w:rsidRPr="000F1A4C">
        <w:rPr>
          <w:rFonts w:ascii="Playfair Display" w:hAnsi="Playfair Display" w:cs="Times New Roman"/>
          <w:i/>
          <w:iCs/>
        </w:rPr>
        <w:t xml:space="preserve"> ……………</w:t>
      </w:r>
    </w:p>
    <w:p w14:paraId="15ED3211" w14:textId="07EC7358" w:rsidR="003C1E88" w:rsidRPr="000F1A4C" w:rsidRDefault="003C1E88" w:rsidP="003C1E88">
      <w:pPr>
        <w:spacing w:after="0" w:line="240" w:lineRule="auto"/>
        <w:jc w:val="center"/>
        <w:rPr>
          <w:rFonts w:ascii="Playfair Display" w:hAnsi="Playfair Display" w:cs="Times New Roman"/>
          <w:i/>
          <w:iCs/>
        </w:rPr>
      </w:pPr>
      <w:r w:rsidRPr="000F1A4C">
        <w:rPr>
          <w:rFonts w:ascii="Playfair Display" w:hAnsi="Playfair Display" w:cs="Times New Roman"/>
          <w:i/>
          <w:iCs/>
        </w:rPr>
        <w:t>Határozatszám:</w:t>
      </w:r>
      <w:r w:rsidR="00167FB3" w:rsidRPr="000F1A4C">
        <w:rPr>
          <w:rFonts w:ascii="Playfair Display" w:hAnsi="Playfair Display" w:cs="Times New Roman"/>
          <w:i/>
          <w:iCs/>
        </w:rPr>
        <w:t xml:space="preserve"> ……………</w:t>
      </w:r>
    </w:p>
    <w:p w14:paraId="49753898" w14:textId="471A5D85" w:rsidR="003C1E88" w:rsidRPr="000F1A4C" w:rsidRDefault="003C1E88" w:rsidP="003C1E88">
      <w:pPr>
        <w:spacing w:after="0" w:line="240" w:lineRule="auto"/>
        <w:jc w:val="center"/>
        <w:rPr>
          <w:rFonts w:ascii="Playfair Display" w:hAnsi="Playfair Display" w:cs="Times New Roman"/>
          <w:i/>
          <w:iCs/>
        </w:rPr>
      </w:pPr>
      <w:r w:rsidRPr="000F1A4C">
        <w:rPr>
          <w:rFonts w:ascii="Playfair Display" w:hAnsi="Playfair Display" w:cs="Times New Roman"/>
          <w:i/>
          <w:iCs/>
        </w:rPr>
        <w:t>Döntéshozó testület megnevezése:</w:t>
      </w:r>
      <w:r w:rsidR="00167FB3" w:rsidRPr="000F1A4C">
        <w:rPr>
          <w:rFonts w:ascii="Playfair Display" w:hAnsi="Playfair Display" w:cs="Times New Roman"/>
          <w:i/>
          <w:iCs/>
        </w:rPr>
        <w:t xml:space="preserve"> ………</w:t>
      </w:r>
      <w:proofErr w:type="gramStart"/>
      <w:r w:rsidR="00167FB3" w:rsidRPr="000F1A4C">
        <w:rPr>
          <w:rFonts w:ascii="Playfair Display" w:hAnsi="Playfair Display" w:cs="Times New Roman"/>
          <w:i/>
          <w:iCs/>
        </w:rPr>
        <w:t>…….</w:t>
      </w:r>
      <w:proofErr w:type="gramEnd"/>
      <w:r w:rsidR="00167FB3" w:rsidRPr="000F1A4C">
        <w:rPr>
          <w:rFonts w:ascii="Playfair Display" w:hAnsi="Playfair Display" w:cs="Times New Roman"/>
          <w:i/>
          <w:iCs/>
        </w:rPr>
        <w:t>.</w:t>
      </w:r>
    </w:p>
    <w:p w14:paraId="031074B0" w14:textId="77777777" w:rsidR="00AA7E3D" w:rsidRPr="000F1A4C" w:rsidRDefault="00AA7E3D" w:rsidP="00AA7E3D">
      <w:pPr>
        <w:jc w:val="center"/>
        <w:rPr>
          <w:rFonts w:ascii="Playfair Display" w:hAnsi="Playfair Display" w:cs="Times New Roman"/>
          <w:sz w:val="52"/>
          <w:szCs w:val="52"/>
        </w:rPr>
      </w:pPr>
      <w:r w:rsidRPr="000F1A4C">
        <w:rPr>
          <w:rFonts w:ascii="Playfair Display" w:hAnsi="Playfair Display" w:cs="Times New Roman"/>
          <w:sz w:val="52"/>
          <w:szCs w:val="52"/>
        </w:rPr>
        <w:br w:type="page"/>
      </w:r>
    </w:p>
    <w:p w14:paraId="02ECEB76" w14:textId="77777777" w:rsidR="00F155F9" w:rsidRPr="000F1A4C" w:rsidRDefault="00F155F9" w:rsidP="00EE6E9D">
      <w:pPr>
        <w:spacing w:beforeLines="60" w:before="144" w:afterLines="60" w:after="144" w:line="240" w:lineRule="auto"/>
        <w:jc w:val="center"/>
        <w:rPr>
          <w:rFonts w:ascii="Playfair Display" w:hAnsi="Playfair Display" w:cs="Times New Roman"/>
          <w:sz w:val="52"/>
          <w:szCs w:val="52"/>
        </w:rPr>
      </w:pPr>
    </w:p>
    <w:sdt>
      <w:sdtPr>
        <w:rPr>
          <w:rFonts w:asciiTheme="minorHAnsi" w:eastAsiaTheme="minorEastAsia" w:hAnsiTheme="minorHAnsi" w:cstheme="minorBidi"/>
          <w:b w:val="0"/>
          <w:sz w:val="22"/>
          <w:szCs w:val="22"/>
          <w:lang w:eastAsia="en-US"/>
        </w:rPr>
        <w:id w:val="-1603032545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4DEB4F73" w14:textId="77777777" w:rsidR="001B753C" w:rsidRPr="006A4A54" w:rsidRDefault="001B753C" w:rsidP="00B858F1">
          <w:pPr>
            <w:pStyle w:val="Tartalomjegyzkcmsora"/>
            <w:rPr>
              <w:sz w:val="24"/>
              <w:szCs w:val="24"/>
            </w:rPr>
          </w:pPr>
          <w:r w:rsidRPr="006A4A54">
            <w:rPr>
              <w:sz w:val="28"/>
              <w:szCs w:val="28"/>
            </w:rPr>
            <w:t>Tartalomjegyzék</w:t>
          </w:r>
        </w:p>
        <w:p w14:paraId="379339B1" w14:textId="3218105E" w:rsidR="006A4A54" w:rsidRPr="006A4A54" w:rsidRDefault="001B753C">
          <w:pPr>
            <w:pStyle w:val="TJ1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r w:rsidRPr="006A4A54">
            <w:rPr>
              <w:rFonts w:ascii="Playfair Display" w:hAnsi="Playfair Display"/>
              <w:bCs/>
              <w:sz w:val="20"/>
              <w:szCs w:val="20"/>
            </w:rPr>
            <w:fldChar w:fldCharType="begin"/>
          </w:r>
          <w:r w:rsidRPr="006A4A54">
            <w:rPr>
              <w:rFonts w:ascii="Playfair Display" w:hAnsi="Playfair Display"/>
              <w:bCs/>
              <w:sz w:val="20"/>
              <w:szCs w:val="20"/>
            </w:rPr>
            <w:instrText xml:space="preserve"> TOC \o "1-3" \h \z \u </w:instrText>
          </w:r>
          <w:r w:rsidRPr="006A4A54">
            <w:rPr>
              <w:rFonts w:ascii="Playfair Display" w:hAnsi="Playfair Display"/>
              <w:bCs/>
              <w:sz w:val="20"/>
              <w:szCs w:val="20"/>
            </w:rPr>
            <w:fldChar w:fldCharType="separate"/>
          </w:r>
          <w:hyperlink w:anchor="_Toc188951774" w:history="1">
            <w:r w:rsidR="006A4A54" w:rsidRPr="006A4A54">
              <w:rPr>
                <w:rStyle w:val="Hiperhivatkozs"/>
                <w:rFonts w:ascii="Playfair Display" w:hAnsi="Playfair Display"/>
                <w:noProof/>
              </w:rPr>
              <w:t>I. Bevezető</w:t>
            </w:r>
            <w:r w:rsidR="006A4A54" w:rsidRPr="006A4A54">
              <w:rPr>
                <w:rFonts w:ascii="Playfair Display" w:hAnsi="Playfair Display"/>
                <w:noProof/>
                <w:webHidden/>
              </w:rPr>
              <w:tab/>
            </w:r>
            <w:r w:rsidR="006A4A54" w:rsidRPr="006A4A54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="006A4A54" w:rsidRPr="006A4A54">
              <w:rPr>
                <w:rFonts w:ascii="Playfair Display" w:hAnsi="Playfair Display"/>
                <w:noProof/>
                <w:webHidden/>
              </w:rPr>
              <w:instrText xml:space="preserve"> PAGEREF _Toc188951774 \h </w:instrText>
            </w:r>
            <w:r w:rsidR="006A4A54" w:rsidRPr="006A4A54">
              <w:rPr>
                <w:rFonts w:ascii="Playfair Display" w:hAnsi="Playfair Display"/>
                <w:noProof/>
                <w:webHidden/>
              </w:rPr>
            </w:r>
            <w:r w:rsidR="006A4A54" w:rsidRPr="006A4A54">
              <w:rPr>
                <w:rFonts w:ascii="Playfair Display" w:hAnsi="Playfair Display"/>
                <w:noProof/>
                <w:webHidden/>
              </w:rPr>
              <w:fldChar w:fldCharType="separate"/>
            </w:r>
            <w:r w:rsidR="006A4A54" w:rsidRPr="006A4A54">
              <w:rPr>
                <w:rFonts w:ascii="Playfair Display" w:hAnsi="Playfair Display"/>
                <w:noProof/>
                <w:webHidden/>
              </w:rPr>
              <w:t>3</w:t>
            </w:r>
            <w:r w:rsidR="006A4A54" w:rsidRPr="006A4A54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26190914" w14:textId="12F9E9B3" w:rsidR="006A4A54" w:rsidRPr="006A4A54" w:rsidRDefault="006A4A54">
          <w:pPr>
            <w:pStyle w:val="TJ2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8951775" w:history="1">
            <w:r w:rsidRPr="006A4A54">
              <w:rPr>
                <w:rStyle w:val="Hiperhivatkozs"/>
                <w:rFonts w:ascii="Playfair Display" w:hAnsi="Playfair Display"/>
                <w:noProof/>
              </w:rPr>
              <w:t>I.1. Doktori iskola létesítési eljárásához, ill. működő doktori iskola új tudományággal történő bővítéséhez szükséges dokumentumok ellenőrző listája</w:t>
            </w:r>
            <w:r w:rsidRPr="006A4A54">
              <w:rPr>
                <w:rFonts w:ascii="Playfair Display" w:hAnsi="Playfair Display"/>
                <w:noProof/>
                <w:webHidden/>
              </w:rPr>
              <w:tab/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Pr="006A4A54">
              <w:rPr>
                <w:rFonts w:ascii="Playfair Display" w:hAnsi="Playfair Display"/>
                <w:noProof/>
                <w:webHidden/>
              </w:rPr>
              <w:instrText xml:space="preserve"> PAGEREF _Toc188951775 \h </w:instrText>
            </w:r>
            <w:r w:rsidRPr="006A4A54">
              <w:rPr>
                <w:rFonts w:ascii="Playfair Display" w:hAnsi="Playfair Display"/>
                <w:noProof/>
                <w:webHidden/>
              </w:rPr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separate"/>
            </w:r>
            <w:r w:rsidRPr="006A4A54">
              <w:rPr>
                <w:rFonts w:ascii="Playfair Display" w:hAnsi="Playfair Display"/>
                <w:noProof/>
                <w:webHidden/>
              </w:rPr>
              <w:t>4</w:t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297E0C93" w14:textId="39DFC5F1" w:rsidR="006A4A54" w:rsidRPr="006A4A54" w:rsidRDefault="006A4A54">
          <w:pPr>
            <w:pStyle w:val="TJ2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8951776" w:history="1">
            <w:r w:rsidRPr="006A4A54">
              <w:rPr>
                <w:rStyle w:val="Hiperhivatkozs"/>
                <w:rFonts w:ascii="Playfair Display" w:hAnsi="Playfair Display"/>
                <w:noProof/>
              </w:rPr>
              <w:t>I.2. Önértékelési eszköz</w:t>
            </w:r>
            <w:r w:rsidRPr="006A4A54">
              <w:rPr>
                <w:rFonts w:ascii="Playfair Display" w:hAnsi="Playfair Display"/>
                <w:noProof/>
                <w:webHidden/>
              </w:rPr>
              <w:tab/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Pr="006A4A54">
              <w:rPr>
                <w:rFonts w:ascii="Playfair Display" w:hAnsi="Playfair Display"/>
                <w:noProof/>
                <w:webHidden/>
              </w:rPr>
              <w:instrText xml:space="preserve"> PAGEREF _Toc188951776 \h </w:instrText>
            </w:r>
            <w:r w:rsidRPr="006A4A54">
              <w:rPr>
                <w:rFonts w:ascii="Playfair Display" w:hAnsi="Playfair Display"/>
                <w:noProof/>
                <w:webHidden/>
              </w:rPr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separate"/>
            </w:r>
            <w:r w:rsidRPr="006A4A54">
              <w:rPr>
                <w:rFonts w:ascii="Playfair Display" w:hAnsi="Playfair Display"/>
                <w:noProof/>
                <w:webHidden/>
              </w:rPr>
              <w:t>7</w:t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63B521BE" w14:textId="39EC7D3E" w:rsidR="006A4A54" w:rsidRPr="006A4A54" w:rsidRDefault="006A4A54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8951777" w:history="1">
            <w:r w:rsidRPr="006A4A54">
              <w:rPr>
                <w:rStyle w:val="Hiperhivatkozs"/>
                <w:rFonts w:ascii="Playfair Display" w:hAnsi="Playfair Display"/>
                <w:noProof/>
              </w:rPr>
              <w:t>Általános és szervezeti jellemzők</w:t>
            </w:r>
            <w:r w:rsidRPr="006A4A54">
              <w:rPr>
                <w:rFonts w:ascii="Playfair Display" w:hAnsi="Playfair Display"/>
                <w:noProof/>
                <w:webHidden/>
              </w:rPr>
              <w:tab/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Pr="006A4A54">
              <w:rPr>
                <w:rFonts w:ascii="Playfair Display" w:hAnsi="Playfair Display"/>
                <w:noProof/>
                <w:webHidden/>
              </w:rPr>
              <w:instrText xml:space="preserve"> PAGEREF _Toc188951777 \h </w:instrText>
            </w:r>
            <w:r w:rsidRPr="006A4A54">
              <w:rPr>
                <w:rFonts w:ascii="Playfair Display" w:hAnsi="Playfair Display"/>
                <w:noProof/>
                <w:webHidden/>
              </w:rPr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separate"/>
            </w:r>
            <w:r w:rsidRPr="006A4A54">
              <w:rPr>
                <w:rFonts w:ascii="Playfair Display" w:hAnsi="Playfair Display"/>
                <w:noProof/>
                <w:webHidden/>
              </w:rPr>
              <w:t>7</w:t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36DC54A9" w14:textId="5754C426" w:rsidR="006A4A54" w:rsidRPr="006A4A54" w:rsidRDefault="006A4A54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8951778" w:history="1">
            <w:r w:rsidRPr="006A4A54">
              <w:rPr>
                <w:rStyle w:val="Hiperhivatkozs"/>
                <w:rFonts w:ascii="Playfair Display" w:hAnsi="Playfair Display"/>
                <w:noProof/>
              </w:rPr>
              <w:t>ESG-alapú megfelelésvizsgálat</w:t>
            </w:r>
            <w:r w:rsidRPr="006A4A54">
              <w:rPr>
                <w:rFonts w:ascii="Playfair Display" w:hAnsi="Playfair Display"/>
                <w:noProof/>
                <w:webHidden/>
              </w:rPr>
              <w:tab/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Pr="006A4A54">
              <w:rPr>
                <w:rFonts w:ascii="Playfair Display" w:hAnsi="Playfair Display"/>
                <w:noProof/>
                <w:webHidden/>
              </w:rPr>
              <w:instrText xml:space="preserve"> PAGEREF _Toc188951778 \h </w:instrText>
            </w:r>
            <w:r w:rsidRPr="006A4A54">
              <w:rPr>
                <w:rFonts w:ascii="Playfair Display" w:hAnsi="Playfair Display"/>
                <w:noProof/>
                <w:webHidden/>
              </w:rPr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separate"/>
            </w:r>
            <w:r w:rsidRPr="006A4A54">
              <w:rPr>
                <w:rFonts w:ascii="Playfair Display" w:hAnsi="Playfair Display"/>
                <w:noProof/>
                <w:webHidden/>
              </w:rPr>
              <w:t>14</w:t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3DA89AAE" w14:textId="7FF3C2A0" w:rsidR="006A4A54" w:rsidRPr="006A4A54" w:rsidRDefault="006A4A54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8951779" w:history="1">
            <w:r w:rsidRPr="006A4A54">
              <w:rPr>
                <w:rStyle w:val="Hiperhivatkozs"/>
                <w:rFonts w:ascii="Playfair Display" w:hAnsi="Playfair Display"/>
                <w:noProof/>
              </w:rPr>
              <w:t>ESG 1.1 Minőségbiztosítási politika</w:t>
            </w:r>
            <w:r w:rsidRPr="006A4A54">
              <w:rPr>
                <w:rFonts w:ascii="Playfair Display" w:hAnsi="Playfair Display"/>
                <w:noProof/>
                <w:webHidden/>
              </w:rPr>
              <w:tab/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Pr="006A4A54">
              <w:rPr>
                <w:rFonts w:ascii="Playfair Display" w:hAnsi="Playfair Display"/>
                <w:noProof/>
                <w:webHidden/>
              </w:rPr>
              <w:instrText xml:space="preserve"> PAGEREF _Toc188951779 \h </w:instrText>
            </w:r>
            <w:r w:rsidRPr="006A4A54">
              <w:rPr>
                <w:rFonts w:ascii="Playfair Display" w:hAnsi="Playfair Display"/>
                <w:noProof/>
                <w:webHidden/>
              </w:rPr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separate"/>
            </w:r>
            <w:r w:rsidRPr="006A4A54">
              <w:rPr>
                <w:rFonts w:ascii="Playfair Display" w:hAnsi="Playfair Display"/>
                <w:noProof/>
                <w:webHidden/>
              </w:rPr>
              <w:t>14</w:t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0842E366" w14:textId="12F046AC" w:rsidR="006A4A54" w:rsidRPr="006A4A54" w:rsidRDefault="006A4A54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8951780" w:history="1">
            <w:r w:rsidRPr="006A4A54">
              <w:rPr>
                <w:rStyle w:val="Hiperhivatkozs"/>
                <w:rFonts w:ascii="Playfair Display" w:hAnsi="Playfair Display"/>
                <w:noProof/>
              </w:rPr>
              <w:t>ESG 1.2 és 1.9 A képzési programok kialakítása és jóváhagyása; folyamatos figyelemmel kísérése és rendszeres értékelése</w:t>
            </w:r>
            <w:r w:rsidRPr="006A4A54">
              <w:rPr>
                <w:rFonts w:ascii="Playfair Display" w:hAnsi="Playfair Display"/>
                <w:noProof/>
                <w:webHidden/>
              </w:rPr>
              <w:tab/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Pr="006A4A54">
              <w:rPr>
                <w:rFonts w:ascii="Playfair Display" w:hAnsi="Playfair Display"/>
                <w:noProof/>
                <w:webHidden/>
              </w:rPr>
              <w:instrText xml:space="preserve"> PAGEREF _Toc188951780 \h </w:instrText>
            </w:r>
            <w:r w:rsidRPr="006A4A54">
              <w:rPr>
                <w:rFonts w:ascii="Playfair Display" w:hAnsi="Playfair Display"/>
                <w:noProof/>
                <w:webHidden/>
              </w:rPr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separate"/>
            </w:r>
            <w:r w:rsidRPr="006A4A54">
              <w:rPr>
                <w:rFonts w:ascii="Playfair Display" w:hAnsi="Playfair Display"/>
                <w:noProof/>
                <w:webHidden/>
              </w:rPr>
              <w:t>16</w:t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091A7FE6" w14:textId="1884EDDA" w:rsidR="006A4A54" w:rsidRPr="006A4A54" w:rsidRDefault="006A4A54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8951781" w:history="1">
            <w:r w:rsidRPr="006A4A54">
              <w:rPr>
                <w:rStyle w:val="Hiperhivatkozs"/>
                <w:rFonts w:ascii="Playfair Display" w:hAnsi="Playfair Display"/>
                <w:noProof/>
              </w:rPr>
              <w:t>ESG 1.3 Hallgatóközpontú tanulás, tanítás és értékelés</w:t>
            </w:r>
            <w:r w:rsidRPr="006A4A54">
              <w:rPr>
                <w:rFonts w:ascii="Playfair Display" w:hAnsi="Playfair Display"/>
                <w:noProof/>
                <w:webHidden/>
              </w:rPr>
              <w:tab/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Pr="006A4A54">
              <w:rPr>
                <w:rFonts w:ascii="Playfair Display" w:hAnsi="Playfair Display"/>
                <w:noProof/>
                <w:webHidden/>
              </w:rPr>
              <w:instrText xml:space="preserve"> PAGEREF _Toc188951781 \h </w:instrText>
            </w:r>
            <w:r w:rsidRPr="006A4A54">
              <w:rPr>
                <w:rFonts w:ascii="Playfair Display" w:hAnsi="Playfair Display"/>
                <w:noProof/>
                <w:webHidden/>
              </w:rPr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separate"/>
            </w:r>
            <w:r w:rsidRPr="006A4A54">
              <w:rPr>
                <w:rFonts w:ascii="Playfair Display" w:hAnsi="Playfair Display"/>
                <w:noProof/>
                <w:webHidden/>
              </w:rPr>
              <w:t>18</w:t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58A944BD" w14:textId="34E737F0" w:rsidR="006A4A54" w:rsidRPr="006A4A54" w:rsidRDefault="006A4A54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8951782" w:history="1">
            <w:r w:rsidRPr="006A4A54">
              <w:rPr>
                <w:rStyle w:val="Hiperhivatkozs"/>
                <w:rFonts w:ascii="Playfair Display" w:hAnsi="Playfair Display"/>
                <w:noProof/>
              </w:rPr>
              <w:t>ESG 1.4 A hallgatók felvétele, előrehaladása, tanulmányaik elismerése és a képesítés odaítélése</w:t>
            </w:r>
            <w:r w:rsidRPr="006A4A54">
              <w:rPr>
                <w:rFonts w:ascii="Playfair Display" w:hAnsi="Playfair Display"/>
                <w:noProof/>
                <w:webHidden/>
              </w:rPr>
              <w:tab/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Pr="006A4A54">
              <w:rPr>
                <w:rFonts w:ascii="Playfair Display" w:hAnsi="Playfair Display"/>
                <w:noProof/>
                <w:webHidden/>
              </w:rPr>
              <w:instrText xml:space="preserve"> PAGEREF _Toc188951782 \h </w:instrText>
            </w:r>
            <w:r w:rsidRPr="006A4A54">
              <w:rPr>
                <w:rFonts w:ascii="Playfair Display" w:hAnsi="Playfair Display"/>
                <w:noProof/>
                <w:webHidden/>
              </w:rPr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separate"/>
            </w:r>
            <w:r w:rsidRPr="006A4A54">
              <w:rPr>
                <w:rFonts w:ascii="Playfair Display" w:hAnsi="Playfair Display"/>
                <w:noProof/>
                <w:webHidden/>
              </w:rPr>
              <w:t>21</w:t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70BEEA9D" w14:textId="4B7B3D2E" w:rsidR="006A4A54" w:rsidRPr="006A4A54" w:rsidRDefault="006A4A54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8951783" w:history="1">
            <w:r w:rsidRPr="006A4A54">
              <w:rPr>
                <w:rStyle w:val="Hiperhivatkozs"/>
                <w:rFonts w:ascii="Playfair Display" w:hAnsi="Playfair Display"/>
                <w:noProof/>
              </w:rPr>
              <w:t>ESG 1.5 Oktatók</w:t>
            </w:r>
            <w:r w:rsidRPr="006A4A54">
              <w:rPr>
                <w:rFonts w:ascii="Playfair Display" w:hAnsi="Playfair Display"/>
                <w:noProof/>
                <w:webHidden/>
              </w:rPr>
              <w:tab/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Pr="006A4A54">
              <w:rPr>
                <w:rFonts w:ascii="Playfair Display" w:hAnsi="Playfair Display"/>
                <w:noProof/>
                <w:webHidden/>
              </w:rPr>
              <w:instrText xml:space="preserve"> PAGEREF _Toc188951783 \h </w:instrText>
            </w:r>
            <w:r w:rsidRPr="006A4A54">
              <w:rPr>
                <w:rFonts w:ascii="Playfair Display" w:hAnsi="Playfair Display"/>
                <w:noProof/>
                <w:webHidden/>
              </w:rPr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separate"/>
            </w:r>
            <w:r w:rsidRPr="006A4A54">
              <w:rPr>
                <w:rFonts w:ascii="Playfair Display" w:hAnsi="Playfair Display"/>
                <w:noProof/>
                <w:webHidden/>
              </w:rPr>
              <w:t>22</w:t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673B6EB6" w14:textId="3A372B7B" w:rsidR="006A4A54" w:rsidRPr="006A4A54" w:rsidRDefault="006A4A54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8951784" w:history="1">
            <w:r w:rsidRPr="006A4A54">
              <w:rPr>
                <w:rStyle w:val="Hiperhivatkozs"/>
                <w:rFonts w:ascii="Playfair Display" w:hAnsi="Playfair Display"/>
                <w:noProof/>
              </w:rPr>
              <w:t>ESG 1.6 Tanulástámogatás és hallgatói szolgáltatások</w:t>
            </w:r>
            <w:r w:rsidRPr="006A4A54">
              <w:rPr>
                <w:rFonts w:ascii="Playfair Display" w:hAnsi="Playfair Display"/>
                <w:noProof/>
                <w:webHidden/>
              </w:rPr>
              <w:tab/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Pr="006A4A54">
              <w:rPr>
                <w:rFonts w:ascii="Playfair Display" w:hAnsi="Playfair Display"/>
                <w:noProof/>
                <w:webHidden/>
              </w:rPr>
              <w:instrText xml:space="preserve"> PAGEREF _Toc188951784 \h </w:instrText>
            </w:r>
            <w:r w:rsidRPr="006A4A54">
              <w:rPr>
                <w:rFonts w:ascii="Playfair Display" w:hAnsi="Playfair Display"/>
                <w:noProof/>
                <w:webHidden/>
              </w:rPr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separate"/>
            </w:r>
            <w:r w:rsidRPr="006A4A54">
              <w:rPr>
                <w:rFonts w:ascii="Playfair Display" w:hAnsi="Playfair Display"/>
                <w:noProof/>
                <w:webHidden/>
              </w:rPr>
              <w:t>24</w:t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6E1328B0" w14:textId="784E4DA4" w:rsidR="006A4A54" w:rsidRPr="006A4A54" w:rsidRDefault="006A4A54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8951785" w:history="1">
            <w:r w:rsidRPr="006A4A54">
              <w:rPr>
                <w:rStyle w:val="Hiperhivatkozs"/>
                <w:rFonts w:ascii="Playfair Display" w:hAnsi="Playfair Display"/>
                <w:noProof/>
              </w:rPr>
              <w:t>ESG 1.7 Információkezelés</w:t>
            </w:r>
            <w:r w:rsidRPr="006A4A54">
              <w:rPr>
                <w:rFonts w:ascii="Playfair Display" w:hAnsi="Playfair Display"/>
                <w:noProof/>
                <w:webHidden/>
              </w:rPr>
              <w:tab/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Pr="006A4A54">
              <w:rPr>
                <w:rFonts w:ascii="Playfair Display" w:hAnsi="Playfair Display"/>
                <w:noProof/>
                <w:webHidden/>
              </w:rPr>
              <w:instrText xml:space="preserve"> PAGEREF _Toc188951785 \h </w:instrText>
            </w:r>
            <w:r w:rsidRPr="006A4A54">
              <w:rPr>
                <w:rFonts w:ascii="Playfair Display" w:hAnsi="Playfair Display"/>
                <w:noProof/>
                <w:webHidden/>
              </w:rPr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separate"/>
            </w:r>
            <w:r w:rsidRPr="006A4A54">
              <w:rPr>
                <w:rFonts w:ascii="Playfair Display" w:hAnsi="Playfair Display"/>
                <w:noProof/>
                <w:webHidden/>
              </w:rPr>
              <w:t>27</w:t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700CC957" w14:textId="07E74D2D" w:rsidR="006A4A54" w:rsidRPr="006A4A54" w:rsidRDefault="006A4A54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8951786" w:history="1">
            <w:r w:rsidRPr="006A4A54">
              <w:rPr>
                <w:rStyle w:val="Hiperhivatkozs"/>
                <w:rFonts w:ascii="Playfair Display" w:hAnsi="Playfair Display"/>
                <w:noProof/>
              </w:rPr>
              <w:t>ESG 1.8 Nyilvános információk</w:t>
            </w:r>
            <w:r w:rsidRPr="006A4A54">
              <w:rPr>
                <w:rFonts w:ascii="Playfair Display" w:hAnsi="Playfair Display"/>
                <w:noProof/>
                <w:webHidden/>
              </w:rPr>
              <w:tab/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Pr="006A4A54">
              <w:rPr>
                <w:rFonts w:ascii="Playfair Display" w:hAnsi="Playfair Display"/>
                <w:noProof/>
                <w:webHidden/>
              </w:rPr>
              <w:instrText xml:space="preserve"> PAGEREF _Toc188951786 \h </w:instrText>
            </w:r>
            <w:r w:rsidRPr="006A4A54">
              <w:rPr>
                <w:rFonts w:ascii="Playfair Display" w:hAnsi="Playfair Display"/>
                <w:noProof/>
                <w:webHidden/>
              </w:rPr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separate"/>
            </w:r>
            <w:r w:rsidRPr="006A4A54">
              <w:rPr>
                <w:rFonts w:ascii="Playfair Display" w:hAnsi="Playfair Display"/>
                <w:noProof/>
                <w:webHidden/>
              </w:rPr>
              <w:t>28</w:t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359513E7" w14:textId="3176B258" w:rsidR="006A4A54" w:rsidRPr="006A4A54" w:rsidRDefault="006A4A54">
          <w:pPr>
            <w:pStyle w:val="TJ3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8951787" w:history="1">
            <w:r w:rsidRPr="006A4A54">
              <w:rPr>
                <w:rStyle w:val="Hiperhivatkozs"/>
                <w:rFonts w:ascii="Playfair Display" w:hAnsi="Playfair Display"/>
                <w:noProof/>
              </w:rPr>
              <w:t>ESG 1.10 Rendszeres külső minőségbiztosítás</w:t>
            </w:r>
            <w:r w:rsidRPr="006A4A54">
              <w:rPr>
                <w:rFonts w:ascii="Playfair Display" w:hAnsi="Playfair Display"/>
                <w:noProof/>
                <w:webHidden/>
              </w:rPr>
              <w:tab/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Pr="006A4A54">
              <w:rPr>
                <w:rFonts w:ascii="Playfair Display" w:hAnsi="Playfair Display"/>
                <w:noProof/>
                <w:webHidden/>
              </w:rPr>
              <w:instrText xml:space="preserve"> PAGEREF _Toc188951787 \h </w:instrText>
            </w:r>
            <w:r w:rsidRPr="006A4A54">
              <w:rPr>
                <w:rFonts w:ascii="Playfair Display" w:hAnsi="Playfair Display"/>
                <w:noProof/>
                <w:webHidden/>
              </w:rPr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separate"/>
            </w:r>
            <w:r w:rsidRPr="006A4A54">
              <w:rPr>
                <w:rFonts w:ascii="Playfair Display" w:hAnsi="Playfair Display"/>
                <w:noProof/>
                <w:webHidden/>
              </w:rPr>
              <w:t>28</w:t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33296427" w14:textId="2B0A2257" w:rsidR="006A4A54" w:rsidRPr="006A4A54" w:rsidRDefault="006A4A54">
          <w:pPr>
            <w:pStyle w:val="TJ1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8951788" w:history="1">
            <w:r w:rsidRPr="006A4A54">
              <w:rPr>
                <w:rStyle w:val="Hiperhivatkozs"/>
                <w:rFonts w:ascii="Playfair Display" w:hAnsi="Playfair Display"/>
                <w:noProof/>
              </w:rPr>
              <w:t>II. Mellékletek</w:t>
            </w:r>
            <w:r w:rsidRPr="006A4A54">
              <w:rPr>
                <w:rFonts w:ascii="Playfair Display" w:hAnsi="Playfair Display"/>
                <w:noProof/>
                <w:webHidden/>
              </w:rPr>
              <w:tab/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Pr="006A4A54">
              <w:rPr>
                <w:rFonts w:ascii="Playfair Display" w:hAnsi="Playfair Display"/>
                <w:noProof/>
                <w:webHidden/>
              </w:rPr>
              <w:instrText xml:space="preserve"> PAGEREF _Toc188951788 \h </w:instrText>
            </w:r>
            <w:r w:rsidRPr="006A4A54">
              <w:rPr>
                <w:rFonts w:ascii="Playfair Display" w:hAnsi="Playfair Display"/>
                <w:noProof/>
                <w:webHidden/>
              </w:rPr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separate"/>
            </w:r>
            <w:r w:rsidRPr="006A4A54">
              <w:rPr>
                <w:rFonts w:ascii="Playfair Display" w:hAnsi="Playfair Display"/>
                <w:noProof/>
                <w:webHidden/>
              </w:rPr>
              <w:t>29</w:t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55F400D6" w14:textId="77C3C105" w:rsidR="006A4A54" w:rsidRPr="006A4A54" w:rsidRDefault="006A4A54">
          <w:pPr>
            <w:pStyle w:val="TJ2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8951789" w:history="1">
            <w:r w:rsidRPr="006A4A54">
              <w:rPr>
                <w:rStyle w:val="Hiperhivatkozs"/>
                <w:rFonts w:ascii="Playfair Display" w:hAnsi="Playfair Display"/>
                <w:noProof/>
              </w:rPr>
              <w:t>II.1. melléklet: Idegen nyelvű kurzusok (csak magyar nyelvű képzés esetén)</w:t>
            </w:r>
            <w:r w:rsidRPr="006A4A54">
              <w:rPr>
                <w:rFonts w:ascii="Playfair Display" w:hAnsi="Playfair Display"/>
                <w:noProof/>
                <w:webHidden/>
              </w:rPr>
              <w:tab/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Pr="006A4A54">
              <w:rPr>
                <w:rFonts w:ascii="Playfair Display" w:hAnsi="Playfair Display"/>
                <w:noProof/>
                <w:webHidden/>
              </w:rPr>
              <w:instrText xml:space="preserve"> PAGEREF _Toc188951789 \h </w:instrText>
            </w:r>
            <w:r w:rsidRPr="006A4A54">
              <w:rPr>
                <w:rFonts w:ascii="Playfair Display" w:hAnsi="Playfair Display"/>
                <w:noProof/>
                <w:webHidden/>
              </w:rPr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separate"/>
            </w:r>
            <w:r w:rsidRPr="006A4A54">
              <w:rPr>
                <w:rFonts w:ascii="Playfair Display" w:hAnsi="Playfair Display"/>
                <w:noProof/>
                <w:webHidden/>
              </w:rPr>
              <w:t>29</w:t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0CD0F553" w14:textId="3906579A" w:rsidR="006A4A54" w:rsidRPr="006A4A54" w:rsidRDefault="006A4A54">
          <w:pPr>
            <w:pStyle w:val="TJ2"/>
            <w:tabs>
              <w:tab w:val="right" w:leader="dot" w:pos="9062"/>
            </w:tabs>
            <w:rPr>
              <w:rFonts w:ascii="Playfair Display" w:eastAsiaTheme="minorEastAsia" w:hAnsi="Playfair Display"/>
              <w:noProof/>
              <w:kern w:val="2"/>
              <w:sz w:val="24"/>
              <w:szCs w:val="24"/>
              <w:lang w:eastAsia="hu-HU"/>
              <w14:ligatures w14:val="standardContextual"/>
            </w:rPr>
          </w:pPr>
          <w:hyperlink w:anchor="_Toc188951790" w:history="1">
            <w:r w:rsidRPr="006A4A54">
              <w:rPr>
                <w:rStyle w:val="Hiperhivatkozs"/>
                <w:rFonts w:ascii="Playfair Display" w:hAnsi="Playfair Display"/>
                <w:noProof/>
              </w:rPr>
              <w:t>II.2 melléklet: Vendégoktatók</w:t>
            </w:r>
            <w:r w:rsidRPr="006A4A54">
              <w:rPr>
                <w:rFonts w:ascii="Playfair Display" w:hAnsi="Playfair Display"/>
                <w:noProof/>
                <w:webHidden/>
              </w:rPr>
              <w:tab/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begin"/>
            </w:r>
            <w:r w:rsidRPr="006A4A54">
              <w:rPr>
                <w:rFonts w:ascii="Playfair Display" w:hAnsi="Playfair Display"/>
                <w:noProof/>
                <w:webHidden/>
              </w:rPr>
              <w:instrText xml:space="preserve"> PAGEREF _Toc188951790 \h </w:instrText>
            </w:r>
            <w:r w:rsidRPr="006A4A54">
              <w:rPr>
                <w:rFonts w:ascii="Playfair Display" w:hAnsi="Playfair Display"/>
                <w:noProof/>
                <w:webHidden/>
              </w:rPr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separate"/>
            </w:r>
            <w:r w:rsidRPr="006A4A54">
              <w:rPr>
                <w:rFonts w:ascii="Playfair Display" w:hAnsi="Playfair Display"/>
                <w:noProof/>
                <w:webHidden/>
              </w:rPr>
              <w:t>30</w:t>
            </w:r>
            <w:r w:rsidRPr="006A4A54">
              <w:rPr>
                <w:rFonts w:ascii="Playfair Display" w:hAnsi="Playfair Display"/>
                <w:noProof/>
                <w:webHidden/>
              </w:rPr>
              <w:fldChar w:fldCharType="end"/>
            </w:r>
          </w:hyperlink>
        </w:p>
        <w:p w14:paraId="5A39BBE3" w14:textId="476033FD" w:rsidR="001B753C" w:rsidRPr="00A15EC8" w:rsidRDefault="001B753C">
          <w:pPr>
            <w:rPr>
              <w:rFonts w:ascii="Playfair Display" w:hAnsi="Playfair Display"/>
              <w:sz w:val="20"/>
              <w:szCs w:val="20"/>
            </w:rPr>
          </w:pPr>
          <w:r w:rsidRPr="006A4A54">
            <w:rPr>
              <w:rFonts w:ascii="Playfair Display" w:hAnsi="Playfair Display"/>
              <w:bCs/>
              <w:sz w:val="20"/>
              <w:szCs w:val="20"/>
            </w:rPr>
            <w:fldChar w:fldCharType="end"/>
          </w:r>
        </w:p>
      </w:sdtContent>
    </w:sdt>
    <w:p w14:paraId="41C8F396" w14:textId="77777777" w:rsidR="00F155F9" w:rsidRPr="000F1A4C" w:rsidRDefault="000C52D6" w:rsidP="00EE6E9D">
      <w:pPr>
        <w:spacing w:line="240" w:lineRule="auto"/>
        <w:rPr>
          <w:rFonts w:ascii="Playfair Display" w:hAnsi="Playfair Display" w:cs="Times New Roman"/>
          <w:b/>
        </w:rPr>
      </w:pPr>
      <w:r w:rsidRPr="000F1A4C">
        <w:rPr>
          <w:rFonts w:ascii="Playfair Display" w:hAnsi="Playfair Display" w:cs="Times New Roman"/>
          <w:b/>
        </w:rPr>
        <w:br w:type="page"/>
      </w:r>
    </w:p>
    <w:p w14:paraId="199FAF53" w14:textId="103F24E3" w:rsidR="00200041" w:rsidRPr="000F1A4C" w:rsidRDefault="009552B0" w:rsidP="00B858F1">
      <w:pPr>
        <w:pStyle w:val="Cmsor1"/>
      </w:pPr>
      <w:bookmarkStart w:id="0" w:name="_Toc188951774"/>
      <w:r w:rsidRPr="000F1A4C">
        <w:lastRenderedPageBreak/>
        <w:t xml:space="preserve">I. </w:t>
      </w:r>
      <w:r w:rsidR="00AA7E3D" w:rsidRPr="000F1A4C">
        <w:t>Bevezető</w:t>
      </w:r>
      <w:bookmarkEnd w:id="0"/>
    </w:p>
    <w:p w14:paraId="57F98233" w14:textId="62CC9766" w:rsidR="00AF452F" w:rsidRPr="000F1A4C" w:rsidRDefault="00AF452F" w:rsidP="00AF452F">
      <w:pPr>
        <w:spacing w:after="60"/>
        <w:jc w:val="both"/>
        <w:rPr>
          <w:rFonts w:ascii="Playfair Display" w:hAnsi="Playfair Display"/>
          <w:sz w:val="20"/>
          <w:szCs w:val="20"/>
        </w:rPr>
      </w:pPr>
      <w:bookmarkStart w:id="1" w:name="_Hlk169080319"/>
      <w:r w:rsidRPr="000F1A4C">
        <w:rPr>
          <w:rFonts w:ascii="Playfair Display" w:hAnsi="Playfair Display" w:cs="Times New Roman"/>
          <w:sz w:val="20"/>
          <w:szCs w:val="20"/>
        </w:rPr>
        <w:t>A</w:t>
      </w:r>
      <w:r w:rsidR="00021747">
        <w:rPr>
          <w:rFonts w:ascii="Playfair Display" w:hAnsi="Playfair Display" w:cs="Times New Roman"/>
          <w:sz w:val="20"/>
          <w:szCs w:val="20"/>
        </w:rPr>
        <w:t xml:space="preserve"> jelen</w:t>
      </w:r>
      <w:r w:rsidRPr="000F1A4C">
        <w:rPr>
          <w:rFonts w:ascii="Playfair Display" w:hAnsi="Playfair Display" w:cs="Times New Roman"/>
          <w:sz w:val="20"/>
          <w:szCs w:val="20"/>
        </w:rPr>
        <w:t xml:space="preserve"> önértékelési eszköz célja</w:t>
      </w:r>
      <w:r w:rsidRPr="000F1A4C">
        <w:rPr>
          <w:rFonts w:ascii="Playfair Display" w:hAnsi="Playfair Display"/>
          <w:sz w:val="20"/>
          <w:szCs w:val="20"/>
        </w:rPr>
        <w:t xml:space="preserve"> az új doktori iskola, illetve a működő doktori iskola új tudományággal kibővített szervezetének, tervezett képzésének, minőségbiztosítási rendszerének és folyamatainak részletes bemutatása az Európai Felsőoktatási Térség minőségbiztosítási </w:t>
      </w:r>
      <w:r w:rsidR="5C21B3F0" w:rsidRPr="000F1A4C">
        <w:rPr>
          <w:rFonts w:ascii="Playfair Display" w:hAnsi="Playfair Display"/>
          <w:sz w:val="20"/>
          <w:szCs w:val="20"/>
        </w:rPr>
        <w:t xml:space="preserve">standardjai és </w:t>
      </w:r>
      <w:r w:rsidRPr="000F1A4C">
        <w:rPr>
          <w:rFonts w:ascii="Playfair Display" w:hAnsi="Playfair Display"/>
          <w:sz w:val="20"/>
          <w:szCs w:val="20"/>
        </w:rPr>
        <w:t>i</w:t>
      </w:r>
      <w:r w:rsidRPr="4B2F46AC">
        <w:rPr>
          <w:rFonts w:ascii="Playfair Display" w:hAnsi="Playfair Display"/>
          <w:sz w:val="20"/>
          <w:szCs w:val="20"/>
        </w:rPr>
        <w:t>rányelvei</w:t>
      </w:r>
      <w:r w:rsidRPr="000F1A4C">
        <w:rPr>
          <w:rFonts w:ascii="Playfair Display" w:hAnsi="Playfair Display"/>
          <w:sz w:val="20"/>
          <w:szCs w:val="20"/>
        </w:rPr>
        <w:t xml:space="preserve"> (</w:t>
      </w:r>
      <w:proofErr w:type="spellStart"/>
      <w:r w:rsidRPr="000F1A4C">
        <w:rPr>
          <w:rFonts w:ascii="Playfair Display" w:hAnsi="Playfair Display"/>
          <w:sz w:val="20"/>
          <w:szCs w:val="20"/>
        </w:rPr>
        <w:t>Standards</w:t>
      </w:r>
      <w:proofErr w:type="spellEnd"/>
      <w:r w:rsidRPr="000F1A4C">
        <w:rPr>
          <w:rFonts w:ascii="Playfair Display" w:hAnsi="Playfair Display"/>
          <w:sz w:val="20"/>
          <w:szCs w:val="20"/>
        </w:rPr>
        <w:t xml:space="preserve"> and </w:t>
      </w:r>
      <w:proofErr w:type="spellStart"/>
      <w:r w:rsidRPr="000F1A4C">
        <w:rPr>
          <w:rFonts w:ascii="Playfair Display" w:hAnsi="Playfair Display"/>
          <w:sz w:val="20"/>
          <w:szCs w:val="20"/>
        </w:rPr>
        <w:t>Guidelines</w:t>
      </w:r>
      <w:proofErr w:type="spellEnd"/>
      <w:r w:rsidRPr="000F1A4C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0F1A4C">
        <w:rPr>
          <w:rFonts w:ascii="Playfair Display" w:hAnsi="Playfair Display"/>
          <w:sz w:val="20"/>
          <w:szCs w:val="20"/>
        </w:rPr>
        <w:t>for</w:t>
      </w:r>
      <w:proofErr w:type="spellEnd"/>
      <w:r w:rsidRPr="000F1A4C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0F1A4C">
        <w:rPr>
          <w:rFonts w:ascii="Playfair Display" w:hAnsi="Playfair Display"/>
          <w:sz w:val="20"/>
          <w:szCs w:val="20"/>
        </w:rPr>
        <w:t>Quality</w:t>
      </w:r>
      <w:proofErr w:type="spellEnd"/>
      <w:r w:rsidRPr="000F1A4C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0F1A4C">
        <w:rPr>
          <w:rFonts w:ascii="Playfair Display" w:hAnsi="Playfair Display"/>
          <w:sz w:val="20"/>
          <w:szCs w:val="20"/>
        </w:rPr>
        <w:t>Assurance</w:t>
      </w:r>
      <w:proofErr w:type="spellEnd"/>
      <w:r w:rsidRPr="000F1A4C">
        <w:rPr>
          <w:rFonts w:ascii="Playfair Display" w:hAnsi="Playfair Display"/>
          <w:sz w:val="20"/>
          <w:szCs w:val="20"/>
        </w:rPr>
        <w:t xml:space="preserve"> in </w:t>
      </w:r>
      <w:proofErr w:type="spellStart"/>
      <w:r w:rsidRPr="000F1A4C">
        <w:rPr>
          <w:rFonts w:ascii="Playfair Display" w:hAnsi="Playfair Display"/>
          <w:sz w:val="20"/>
          <w:szCs w:val="20"/>
        </w:rPr>
        <w:t>the</w:t>
      </w:r>
      <w:proofErr w:type="spellEnd"/>
      <w:r w:rsidRPr="000F1A4C">
        <w:rPr>
          <w:rFonts w:ascii="Playfair Display" w:hAnsi="Playfair Display"/>
          <w:sz w:val="20"/>
          <w:szCs w:val="20"/>
        </w:rPr>
        <w:t xml:space="preserve"> European </w:t>
      </w:r>
      <w:proofErr w:type="spellStart"/>
      <w:r w:rsidRPr="000F1A4C">
        <w:rPr>
          <w:rFonts w:ascii="Playfair Display" w:hAnsi="Playfair Display"/>
          <w:sz w:val="20"/>
          <w:szCs w:val="20"/>
        </w:rPr>
        <w:t>Higher</w:t>
      </w:r>
      <w:proofErr w:type="spellEnd"/>
      <w:r w:rsidRPr="000F1A4C">
        <w:rPr>
          <w:rFonts w:ascii="Playfair Display" w:hAnsi="Playfair Display"/>
          <w:sz w:val="20"/>
          <w:szCs w:val="20"/>
        </w:rPr>
        <w:t xml:space="preserve"> Education </w:t>
      </w:r>
      <w:proofErr w:type="spellStart"/>
      <w:r w:rsidRPr="000F1A4C">
        <w:rPr>
          <w:rFonts w:ascii="Playfair Display" w:hAnsi="Playfair Display"/>
          <w:sz w:val="20"/>
          <w:szCs w:val="20"/>
        </w:rPr>
        <w:t>Area</w:t>
      </w:r>
      <w:proofErr w:type="spellEnd"/>
      <w:r w:rsidRPr="000F1A4C">
        <w:rPr>
          <w:rFonts w:ascii="Playfair Display" w:hAnsi="Playfair Display"/>
          <w:sz w:val="20"/>
          <w:szCs w:val="20"/>
        </w:rPr>
        <w:t xml:space="preserve">, rövidítve: ESG) </w:t>
      </w:r>
      <w:r w:rsidR="439890C2" w:rsidRPr="4B2F46AC">
        <w:rPr>
          <w:rFonts w:ascii="Playfair Display" w:hAnsi="Playfair Display"/>
          <w:sz w:val="20"/>
          <w:szCs w:val="20"/>
        </w:rPr>
        <w:t>alapjá</w:t>
      </w:r>
      <w:r w:rsidRPr="4B2F46AC">
        <w:rPr>
          <w:rFonts w:ascii="Playfair Display" w:hAnsi="Playfair Display"/>
          <w:sz w:val="20"/>
          <w:szCs w:val="20"/>
        </w:rPr>
        <w:t>n.</w:t>
      </w:r>
      <w:r>
        <w:rPr>
          <w:rFonts w:ascii="Playfair Display" w:hAnsi="Playfair Display"/>
          <w:sz w:val="20"/>
          <w:szCs w:val="20"/>
        </w:rPr>
        <w:t xml:space="preserve"> </w:t>
      </w:r>
      <w:r w:rsidRPr="4B2F46AC">
        <w:rPr>
          <w:rFonts w:ascii="Playfair Display" w:hAnsi="Playfair Display"/>
          <w:sz w:val="20"/>
          <w:szCs w:val="20"/>
        </w:rPr>
        <w:t>A MAB</w:t>
      </w:r>
      <w:r w:rsidRPr="66B5A413">
        <w:rPr>
          <w:rFonts w:ascii="Playfair Display" w:hAnsi="Playfair Display"/>
          <w:sz w:val="20"/>
          <w:szCs w:val="20"/>
        </w:rPr>
        <w:t xml:space="preserve"> az alapos és átfogó értékelés érdekében az ESG-s</w:t>
      </w:r>
      <w:r w:rsidR="494D3179" w:rsidRPr="66B5A413">
        <w:rPr>
          <w:rFonts w:ascii="Playfair Display" w:hAnsi="Playfair Display"/>
          <w:sz w:val="20"/>
          <w:szCs w:val="20"/>
        </w:rPr>
        <w:t>tandardokat</w:t>
      </w:r>
      <w:r w:rsidRPr="66B5A413">
        <w:rPr>
          <w:rFonts w:ascii="Playfair Display" w:hAnsi="Playfair Display"/>
          <w:sz w:val="20"/>
          <w:szCs w:val="20"/>
        </w:rPr>
        <w:t xml:space="preserve"> a doktori képzésekre vonatkozó speciális értékelési szempontokkal egészíti ki. Az ESG 1. részében meghatározott s</w:t>
      </w:r>
      <w:r w:rsidR="64D9B16E" w:rsidRPr="66B5A413">
        <w:rPr>
          <w:rFonts w:ascii="Playfair Display" w:hAnsi="Playfair Display"/>
          <w:sz w:val="20"/>
          <w:szCs w:val="20"/>
        </w:rPr>
        <w:t>tandardokon</w:t>
      </w:r>
      <w:r w:rsidRPr="66B5A413">
        <w:rPr>
          <w:rFonts w:ascii="Playfair Display" w:hAnsi="Playfair Display"/>
          <w:sz w:val="20"/>
          <w:szCs w:val="20"/>
        </w:rPr>
        <w:t xml:space="preserve"> és irányelveken túl a doktori iskolák, valamint programok értékelése az Európai Kutatási Térség (European Research </w:t>
      </w:r>
      <w:proofErr w:type="spellStart"/>
      <w:r w:rsidRPr="66B5A413">
        <w:rPr>
          <w:rFonts w:ascii="Playfair Display" w:hAnsi="Playfair Display"/>
          <w:sz w:val="20"/>
          <w:szCs w:val="20"/>
        </w:rPr>
        <w:t>Area</w:t>
      </w:r>
      <w:proofErr w:type="spellEnd"/>
      <w:r w:rsidRPr="66B5A413">
        <w:rPr>
          <w:rFonts w:ascii="Playfair Display" w:hAnsi="Playfair Display"/>
          <w:sz w:val="20"/>
          <w:szCs w:val="20"/>
        </w:rPr>
        <w:t xml:space="preserve">, ERA, magyarul: EKT) </w:t>
      </w:r>
      <w:r>
        <w:rPr>
          <w:rFonts w:ascii="Playfair Display" w:hAnsi="Playfair Display"/>
          <w:sz w:val="20"/>
          <w:szCs w:val="20"/>
        </w:rPr>
        <w:t>értékeit, célkitűzéseit</w:t>
      </w:r>
      <w:r>
        <w:rPr>
          <w:rStyle w:val="Lbjegyzet-hivatkozs"/>
          <w:rFonts w:ascii="Playfair Display" w:hAnsi="Playfair Display"/>
          <w:sz w:val="20"/>
          <w:szCs w:val="20"/>
        </w:rPr>
        <w:footnoteReference w:id="2"/>
      </w:r>
      <w:r>
        <w:rPr>
          <w:rFonts w:ascii="Playfair Display" w:hAnsi="Playfair Display"/>
          <w:sz w:val="20"/>
          <w:szCs w:val="20"/>
        </w:rPr>
        <w:t>, valamint</w:t>
      </w:r>
      <w:r w:rsidRPr="66B5A413">
        <w:rPr>
          <w:rFonts w:ascii="Playfair Display" w:hAnsi="Playfair Display"/>
          <w:sz w:val="20"/>
          <w:szCs w:val="20"/>
        </w:rPr>
        <w:t xml:space="preserve"> az ún. salzburgi alapelveket (2005) követi</w:t>
      </w:r>
      <w:r w:rsidRPr="66B5A413">
        <w:rPr>
          <w:rStyle w:val="Lbjegyzet-hivatkozs"/>
          <w:rFonts w:ascii="Playfair Display" w:hAnsi="Playfair Display"/>
          <w:sz w:val="20"/>
          <w:szCs w:val="20"/>
        </w:rPr>
        <w:footnoteReference w:id="3"/>
      </w:r>
      <w:r w:rsidRPr="66B5A413">
        <w:rPr>
          <w:rFonts w:ascii="Playfair Display" w:hAnsi="Playfair Display"/>
          <w:sz w:val="20"/>
          <w:szCs w:val="20"/>
        </w:rPr>
        <w:t>.</w:t>
      </w:r>
    </w:p>
    <w:p w14:paraId="461E31E9" w14:textId="5EBF9D24" w:rsidR="00AF452F" w:rsidRPr="000F1A4C" w:rsidRDefault="00AF452F" w:rsidP="00AF452F">
      <w:pPr>
        <w:pStyle w:val="Listaszerbekezds"/>
        <w:spacing w:after="60"/>
        <w:ind w:left="0"/>
        <w:contextualSpacing w:val="0"/>
        <w:jc w:val="both"/>
        <w:rPr>
          <w:rFonts w:ascii="Playfair Display" w:hAnsi="Playfair Display"/>
          <w:sz w:val="20"/>
          <w:szCs w:val="20"/>
        </w:rPr>
      </w:pPr>
      <w:r w:rsidRPr="4B2F46AC">
        <w:rPr>
          <w:rFonts w:ascii="Playfair Display" w:hAnsi="Playfair Display"/>
          <w:sz w:val="20"/>
          <w:szCs w:val="20"/>
        </w:rPr>
        <w:t xml:space="preserve">Az önértékelési eszközben megfogalmazott </w:t>
      </w:r>
      <w:r w:rsidR="7CD4795B" w:rsidRPr="4B2F46AC">
        <w:rPr>
          <w:rFonts w:ascii="Playfair Display" w:hAnsi="Playfair Display"/>
          <w:sz w:val="20"/>
          <w:szCs w:val="20"/>
        </w:rPr>
        <w:t>tématerületek</w:t>
      </w:r>
      <w:r w:rsidRPr="4B2F46AC">
        <w:rPr>
          <w:rFonts w:ascii="Playfair Display" w:hAnsi="Playfair Display"/>
          <w:sz w:val="20"/>
          <w:szCs w:val="20"/>
        </w:rPr>
        <w:t xml:space="preserve"> valamennyi magyarországi doktori iskolára vonatkoznak. </w:t>
      </w:r>
      <w:r w:rsidR="3FE7EC68" w:rsidRPr="4B2F46AC">
        <w:rPr>
          <w:rFonts w:ascii="Playfair Display" w:hAnsi="Playfair Display"/>
          <w:sz w:val="20"/>
          <w:szCs w:val="20"/>
        </w:rPr>
        <w:t>F</w:t>
      </w:r>
      <w:r w:rsidRPr="4B2F46AC">
        <w:rPr>
          <w:rFonts w:ascii="Playfair Display" w:hAnsi="Playfair Display"/>
          <w:sz w:val="20"/>
          <w:szCs w:val="20"/>
        </w:rPr>
        <w:t>ontos, hogy a doktori iskola a maga sajátosságait figyelembe véve értelmezze és válaszolja meg a kérdéseket.</w:t>
      </w:r>
    </w:p>
    <w:p w14:paraId="0D4343DA" w14:textId="72130841" w:rsidR="00EE04B4" w:rsidRPr="000F1A4C" w:rsidRDefault="00AF452F" w:rsidP="35D43EF4">
      <w:pPr>
        <w:spacing w:after="240"/>
        <w:jc w:val="both"/>
        <w:rPr>
          <w:rFonts w:ascii="Playfair Display" w:hAnsi="Playfair Display"/>
          <w:sz w:val="20"/>
          <w:szCs w:val="20"/>
        </w:rPr>
      </w:pPr>
      <w:r w:rsidRPr="4B2F46AC">
        <w:rPr>
          <w:rFonts w:ascii="Playfair Display" w:hAnsi="Playfair Display"/>
          <w:sz w:val="20"/>
          <w:szCs w:val="20"/>
        </w:rPr>
        <w:t>Az önértékelési eszköz számos helyen kéri a doktori iskola eljárásainak, szabályzatainak, folyamatainak bemutatását</w:t>
      </w:r>
      <w:r w:rsidR="23D1D913" w:rsidRPr="4B2F46AC">
        <w:rPr>
          <w:rFonts w:ascii="Playfair Display" w:hAnsi="Playfair Display"/>
          <w:sz w:val="20"/>
          <w:szCs w:val="20"/>
        </w:rPr>
        <w:t>, am</w:t>
      </w:r>
      <w:r w:rsidR="00C51C3A">
        <w:rPr>
          <w:rFonts w:ascii="Playfair Display" w:hAnsi="Playfair Display"/>
          <w:sz w:val="20"/>
          <w:szCs w:val="20"/>
        </w:rPr>
        <w:t>elyek</w:t>
      </w:r>
      <w:r w:rsidRPr="4B2F46AC">
        <w:rPr>
          <w:rFonts w:ascii="Playfair Display" w:hAnsi="Playfair Display"/>
          <w:sz w:val="20"/>
          <w:szCs w:val="20"/>
        </w:rPr>
        <w:t xml:space="preserve"> nem függetleníthető</w:t>
      </w:r>
      <w:r w:rsidR="00C51C3A">
        <w:rPr>
          <w:rFonts w:ascii="Playfair Display" w:hAnsi="Playfair Display"/>
          <w:sz w:val="20"/>
          <w:szCs w:val="20"/>
        </w:rPr>
        <w:t>k</w:t>
      </w:r>
      <w:r w:rsidRPr="4B2F46AC">
        <w:rPr>
          <w:rFonts w:ascii="Playfair Display" w:hAnsi="Playfair Display"/>
          <w:sz w:val="20"/>
          <w:szCs w:val="20"/>
        </w:rPr>
        <w:t xml:space="preserve"> a felsőoktatási intézmény eljárásaitól, szabályzataitól és gyakorlatától, azaz nem jelenti azt, hogy ezeknek az intézmény eljárásaitól, szabályzataitól, folyamataitól különállónak kellene lenniük. Fontos azonban annak bemutatása, hogy a doktori iskola eljárásai miként alkotnak külön alrendszert az intézményi rendszeren belül a működés, információgyűjtés, elemzés, értékelés, visszacsatolás és továbbfejlesztés tekintetében (PDCA-ciklus).</w:t>
      </w:r>
    </w:p>
    <w:p w14:paraId="2F86BD1D" w14:textId="5F11C15F" w:rsidR="00390567" w:rsidRPr="000F1A4C" w:rsidRDefault="00EE04B4" w:rsidP="00390567">
      <w:pPr>
        <w:spacing w:before="240" w:after="120"/>
        <w:jc w:val="both"/>
        <w:rPr>
          <w:rFonts w:ascii="Playfair Display" w:hAnsi="Playfair Display" w:cs="Times New Roman"/>
          <w:sz w:val="20"/>
          <w:szCs w:val="20"/>
        </w:rPr>
      </w:pPr>
      <w:r w:rsidRPr="000F1A4C">
        <w:rPr>
          <w:rFonts w:ascii="Playfair Display" w:hAnsi="Playfair Display" w:cs="Times New Roman"/>
          <w:sz w:val="20"/>
          <w:szCs w:val="20"/>
        </w:rPr>
        <w:t>A jelen dokumentum az alábbi tételekből épül fel:</w:t>
      </w:r>
    </w:p>
    <w:tbl>
      <w:tblPr>
        <w:tblStyle w:val="Rcsostblzat"/>
        <w:tblW w:w="9416" w:type="dxa"/>
        <w:tblLook w:val="04A0" w:firstRow="1" w:lastRow="0" w:firstColumn="1" w:lastColumn="0" w:noHBand="0" w:noVBand="1"/>
      </w:tblPr>
      <w:tblGrid>
        <w:gridCol w:w="4708"/>
        <w:gridCol w:w="4708"/>
      </w:tblGrid>
      <w:tr w:rsidR="00EE04B4" w:rsidRPr="000F1A4C" w14:paraId="549AAF47" w14:textId="77777777" w:rsidTr="00C51C3A">
        <w:trPr>
          <w:trHeight w:val="268"/>
          <w:tblHeader/>
        </w:trPr>
        <w:tc>
          <w:tcPr>
            <w:tcW w:w="4708" w:type="dxa"/>
            <w:shd w:val="clear" w:color="auto" w:fill="D9D9D9" w:themeFill="background1" w:themeFillShade="D9"/>
          </w:tcPr>
          <w:p w14:paraId="3019EAF5" w14:textId="77777777" w:rsidR="00EE04B4" w:rsidRPr="000F1A4C" w:rsidRDefault="00EE04B4" w:rsidP="00D35BA2">
            <w:pPr>
              <w:spacing w:before="120" w:after="120"/>
              <w:jc w:val="center"/>
              <w:rPr>
                <w:rFonts w:ascii="Playfair Display" w:hAnsi="Playfair Display" w:cs="Times New Roman"/>
                <w:b/>
                <w:bCs/>
                <w:sz w:val="20"/>
                <w:szCs w:val="20"/>
              </w:rPr>
            </w:pPr>
            <w:r w:rsidRPr="000F1A4C">
              <w:rPr>
                <w:rFonts w:ascii="Playfair Display" w:hAnsi="Playfair Display" w:cs="Times New Roman"/>
                <w:b/>
                <w:bCs/>
                <w:sz w:val="20"/>
                <w:szCs w:val="20"/>
              </w:rPr>
              <w:t>Tétel megnevezése</w:t>
            </w:r>
          </w:p>
        </w:tc>
        <w:tc>
          <w:tcPr>
            <w:tcW w:w="4708" w:type="dxa"/>
            <w:shd w:val="clear" w:color="auto" w:fill="D9D9D9" w:themeFill="background1" w:themeFillShade="D9"/>
          </w:tcPr>
          <w:p w14:paraId="6D579922" w14:textId="77777777" w:rsidR="00EE04B4" w:rsidRPr="000F1A4C" w:rsidRDefault="00EE04B4" w:rsidP="00D35BA2">
            <w:pPr>
              <w:spacing w:before="120" w:after="120"/>
              <w:jc w:val="center"/>
              <w:rPr>
                <w:rFonts w:ascii="Playfair Display" w:hAnsi="Playfair Display" w:cs="Times New Roman"/>
                <w:b/>
                <w:bCs/>
                <w:sz w:val="20"/>
                <w:szCs w:val="20"/>
              </w:rPr>
            </w:pPr>
            <w:r w:rsidRPr="000F1A4C">
              <w:rPr>
                <w:rFonts w:ascii="Playfair Display" w:hAnsi="Playfair Display" w:cs="Times New Roman"/>
                <w:b/>
                <w:bCs/>
                <w:sz w:val="20"/>
                <w:szCs w:val="20"/>
              </w:rPr>
              <w:t>Forrás</w:t>
            </w:r>
          </w:p>
        </w:tc>
      </w:tr>
      <w:tr w:rsidR="00EE04B4" w:rsidRPr="000F1A4C" w14:paraId="313B97D2" w14:textId="77777777" w:rsidTr="00390567">
        <w:trPr>
          <w:trHeight w:val="1769"/>
        </w:trPr>
        <w:tc>
          <w:tcPr>
            <w:tcW w:w="4708" w:type="dxa"/>
          </w:tcPr>
          <w:p w14:paraId="4D430F6F" w14:textId="4134069F" w:rsidR="00EE04B4" w:rsidRPr="000F1A4C" w:rsidRDefault="00EE04B4" w:rsidP="00FB3150">
            <w:pPr>
              <w:spacing w:before="120" w:after="12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  <w:r w:rsidRPr="000F1A4C">
              <w:rPr>
                <w:rFonts w:ascii="Playfair Display" w:hAnsi="Playfair Display" w:cs="Times New Roman"/>
                <w:sz w:val="20"/>
                <w:szCs w:val="20"/>
              </w:rPr>
              <w:t>Az új doktori iskola létesítési eljárásához, illetve működő doktori iskola új tudományággal történő bővítéséhez előkészített dokumentumok (</w:t>
            </w:r>
            <w:r w:rsidR="0071654F">
              <w:rPr>
                <w:rFonts w:ascii="Playfair Display" w:hAnsi="Playfair Display" w:cs="Times New Roman"/>
                <w:sz w:val="20"/>
                <w:szCs w:val="20"/>
              </w:rPr>
              <w:t xml:space="preserve">továbbiakban: </w:t>
            </w:r>
            <w:r w:rsidRPr="000F1A4C">
              <w:rPr>
                <w:rFonts w:ascii="Playfair Display" w:hAnsi="Playfair Display" w:cs="Times New Roman"/>
                <w:sz w:val="20"/>
                <w:szCs w:val="20"/>
              </w:rPr>
              <w:t>létesítési dokumentáció) ellenőrző listája.</w:t>
            </w:r>
          </w:p>
        </w:tc>
        <w:tc>
          <w:tcPr>
            <w:tcW w:w="4708" w:type="dxa"/>
          </w:tcPr>
          <w:p w14:paraId="20B3EA98" w14:textId="77777777" w:rsidR="00EE04B4" w:rsidRPr="000F1A4C" w:rsidRDefault="00EE04B4" w:rsidP="00FB3150">
            <w:pPr>
              <w:spacing w:before="120" w:after="12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  <w:r w:rsidRPr="000F1A4C">
              <w:rPr>
                <w:rFonts w:ascii="Playfair Display" w:hAnsi="Playfair Display" w:cs="Times New Roman"/>
                <w:sz w:val="20"/>
                <w:szCs w:val="20"/>
              </w:rPr>
              <w:t>A doktori iskolákról, a doktori eljárások rendjéről és a habilitációról szóló 387/2012. (XII. 19.) számú kormányrendelet</w:t>
            </w:r>
          </w:p>
        </w:tc>
      </w:tr>
      <w:tr w:rsidR="00EE04B4" w:rsidRPr="000F1A4C" w14:paraId="0E61247B" w14:textId="77777777" w:rsidTr="00390567">
        <w:trPr>
          <w:trHeight w:val="603"/>
        </w:trPr>
        <w:tc>
          <w:tcPr>
            <w:tcW w:w="4708" w:type="dxa"/>
            <w:vAlign w:val="center"/>
          </w:tcPr>
          <w:p w14:paraId="563C1B85" w14:textId="77777777" w:rsidR="00EE04B4" w:rsidRPr="000F1A4C" w:rsidRDefault="00EE04B4" w:rsidP="00FB3150">
            <w:pPr>
              <w:spacing w:before="120" w:after="120"/>
              <w:jc w:val="both"/>
              <w:rPr>
                <w:rFonts w:ascii="Playfair Display" w:hAnsi="Playfair Display" w:cs="Times New Roman"/>
                <w:sz w:val="20"/>
                <w:szCs w:val="20"/>
              </w:rPr>
            </w:pPr>
            <w:r w:rsidRPr="000F1A4C">
              <w:rPr>
                <w:rFonts w:ascii="Playfair Display" w:hAnsi="Playfair Display" w:cs="Times New Roman"/>
                <w:sz w:val="20"/>
                <w:szCs w:val="20"/>
              </w:rPr>
              <w:t>Önértékelési eszköz</w:t>
            </w:r>
          </w:p>
        </w:tc>
        <w:tc>
          <w:tcPr>
            <w:tcW w:w="4708" w:type="dxa"/>
          </w:tcPr>
          <w:p w14:paraId="5AF89B0D" w14:textId="77777777" w:rsidR="00EE04B4" w:rsidRPr="000F1A4C" w:rsidRDefault="00EE04B4" w:rsidP="00FB3150">
            <w:pPr>
              <w:spacing w:before="120" w:after="120"/>
              <w:rPr>
                <w:rFonts w:ascii="Playfair Display" w:hAnsi="Playfair Display" w:cs="Times New Roman"/>
                <w:sz w:val="20"/>
                <w:szCs w:val="20"/>
              </w:rPr>
            </w:pPr>
            <w:r w:rsidRPr="000F1A4C">
              <w:rPr>
                <w:rFonts w:ascii="Playfair Display" w:hAnsi="Playfair Display" w:cs="Times New Roman"/>
                <w:sz w:val="20"/>
                <w:szCs w:val="20"/>
              </w:rPr>
              <w:t>A MAB ESG-alapú értékelési szempontrendszere</w:t>
            </w:r>
          </w:p>
        </w:tc>
      </w:tr>
    </w:tbl>
    <w:p w14:paraId="4058969B" w14:textId="1C9B8F21" w:rsidR="00390567" w:rsidRPr="000F1A4C" w:rsidRDefault="00390567" w:rsidP="4B2F46AC">
      <w:pPr>
        <w:spacing w:after="60"/>
        <w:jc w:val="both"/>
        <w:rPr>
          <w:rFonts w:ascii="Playfair Display" w:hAnsi="Playfair Display"/>
          <w:sz w:val="20"/>
          <w:szCs w:val="20"/>
        </w:rPr>
      </w:pPr>
    </w:p>
    <w:p w14:paraId="2DD44412" w14:textId="608D14C2" w:rsidR="006732A1" w:rsidRPr="0071654F" w:rsidRDefault="006732A1" w:rsidP="007F5207">
      <w:pPr>
        <w:spacing w:after="60"/>
        <w:jc w:val="both"/>
        <w:rPr>
          <w:rFonts w:ascii="Playfair Display" w:hAnsi="Playfair Display"/>
          <w:b/>
          <w:bCs/>
          <w:sz w:val="20"/>
          <w:szCs w:val="20"/>
          <w:u w:val="single"/>
        </w:rPr>
      </w:pPr>
      <w:r w:rsidRPr="0071654F">
        <w:rPr>
          <w:rFonts w:ascii="Playfair Display" w:hAnsi="Playfair Display"/>
          <w:b/>
          <w:bCs/>
          <w:sz w:val="20"/>
          <w:szCs w:val="20"/>
          <w:u w:val="single"/>
        </w:rPr>
        <w:t>Formai követelmények</w:t>
      </w:r>
    </w:p>
    <w:p w14:paraId="70A9B6FA" w14:textId="058A7E3F" w:rsidR="001D20B2" w:rsidRPr="001D20B2" w:rsidRDefault="004875F1" w:rsidP="004A562F">
      <w:pPr>
        <w:pStyle w:val="Listaszerbekezds"/>
        <w:numPr>
          <w:ilvl w:val="0"/>
          <w:numId w:val="15"/>
        </w:numPr>
        <w:spacing w:after="60"/>
        <w:ind w:left="426"/>
        <w:jc w:val="both"/>
        <w:rPr>
          <w:rFonts w:ascii="Playfair Display" w:hAnsi="Playfair Display" w:cs="Times New Roman"/>
          <w:sz w:val="20"/>
          <w:szCs w:val="20"/>
        </w:rPr>
      </w:pPr>
      <w:r w:rsidRPr="000F1A4C">
        <w:rPr>
          <w:rFonts w:ascii="Playfair Display" w:hAnsi="Playfair Display" w:cstheme="minorHAnsi"/>
          <w:sz w:val="20"/>
          <w:szCs w:val="20"/>
        </w:rPr>
        <w:t>A létesítési dokumentáció</w:t>
      </w:r>
      <w:r w:rsidR="001D20B2">
        <w:rPr>
          <w:rFonts w:ascii="Playfair Display" w:hAnsi="Playfair Display" w:cstheme="minorHAnsi"/>
          <w:sz w:val="20"/>
          <w:szCs w:val="20"/>
        </w:rPr>
        <w:t xml:space="preserve"> szabályzati elemeit a képzés nyelve(i)n szükséges előkészíteni.</w:t>
      </w:r>
    </w:p>
    <w:p w14:paraId="4D887367" w14:textId="27B81728" w:rsidR="004875F1" w:rsidRPr="000F1A4C" w:rsidRDefault="001D20B2" w:rsidP="2D81E005">
      <w:pPr>
        <w:pStyle w:val="Listaszerbekezds"/>
        <w:numPr>
          <w:ilvl w:val="0"/>
          <w:numId w:val="15"/>
        </w:numPr>
        <w:spacing w:after="60"/>
        <w:ind w:left="426"/>
        <w:jc w:val="both"/>
        <w:rPr>
          <w:rFonts w:ascii="Playfair Display" w:hAnsi="Playfair Display"/>
          <w:sz w:val="20"/>
          <w:szCs w:val="20"/>
        </w:rPr>
      </w:pPr>
      <w:r w:rsidRPr="2D81E005">
        <w:rPr>
          <w:rFonts w:ascii="Playfair Display" w:hAnsi="Playfair Display"/>
          <w:sz w:val="20"/>
          <w:szCs w:val="20"/>
        </w:rPr>
        <w:lastRenderedPageBreak/>
        <w:t>A</w:t>
      </w:r>
      <w:r w:rsidR="004875F1" w:rsidRPr="2D81E005">
        <w:rPr>
          <w:rFonts w:ascii="Playfair Display" w:hAnsi="Playfair Display"/>
          <w:sz w:val="20"/>
          <w:szCs w:val="20"/>
        </w:rPr>
        <w:t>z önértékelési eszköz nyelvéről az intézmény és a MAB egyeztet, figyelembe véve a doktori képzés nyelve(i)t.</w:t>
      </w:r>
    </w:p>
    <w:p w14:paraId="4A129DCA" w14:textId="7C60C174" w:rsidR="004A562F" w:rsidRPr="000F1A4C" w:rsidRDefault="0071654F" w:rsidP="004A562F">
      <w:pPr>
        <w:pStyle w:val="Listaszerbekezds"/>
        <w:numPr>
          <w:ilvl w:val="0"/>
          <w:numId w:val="15"/>
        </w:numPr>
        <w:spacing w:after="60"/>
        <w:ind w:left="426"/>
        <w:jc w:val="both"/>
        <w:rPr>
          <w:rFonts w:ascii="Playfair Display" w:hAnsi="Playfair Display" w:cs="Times New Roman"/>
          <w:sz w:val="20"/>
          <w:szCs w:val="20"/>
        </w:rPr>
      </w:pPr>
      <w:r>
        <w:rPr>
          <w:rFonts w:ascii="Playfair Display" w:hAnsi="Playfair Display" w:cs="Times New Roman"/>
          <w:sz w:val="20"/>
          <w:szCs w:val="20"/>
        </w:rPr>
        <w:t>A</w:t>
      </w:r>
      <w:r w:rsidR="00AF452F">
        <w:rPr>
          <w:rFonts w:ascii="Playfair Display" w:hAnsi="Playfair Display" w:cs="Times New Roman"/>
          <w:sz w:val="20"/>
          <w:szCs w:val="20"/>
        </w:rPr>
        <w:t>z I.1. fejezet</w:t>
      </w:r>
      <w:r w:rsidR="004A562F" w:rsidRPr="000F1A4C">
        <w:rPr>
          <w:rFonts w:ascii="Playfair Display" w:hAnsi="Playfair Display" w:cs="Times New Roman"/>
          <w:sz w:val="20"/>
          <w:szCs w:val="20"/>
        </w:rPr>
        <w:t xml:space="preserve"> </w:t>
      </w:r>
      <w:r w:rsidR="006732A1" w:rsidRPr="000F1A4C">
        <w:rPr>
          <w:rFonts w:ascii="Playfair Display" w:hAnsi="Playfair Display" w:cs="Times New Roman"/>
          <w:sz w:val="20"/>
          <w:szCs w:val="20"/>
        </w:rPr>
        <w:t xml:space="preserve">táblázatban </w:t>
      </w:r>
      <w:r w:rsidR="004A562F" w:rsidRPr="000F1A4C">
        <w:rPr>
          <w:rFonts w:ascii="Playfair Display" w:hAnsi="Playfair Display" w:cs="Times New Roman"/>
          <w:sz w:val="20"/>
          <w:szCs w:val="20"/>
        </w:rPr>
        <w:t>felsorol</w:t>
      </w:r>
      <w:r w:rsidR="00390567">
        <w:rPr>
          <w:rFonts w:ascii="Playfair Display" w:hAnsi="Playfair Display" w:cs="Times New Roman"/>
          <w:sz w:val="20"/>
          <w:szCs w:val="20"/>
        </w:rPr>
        <w:t>t tételeket</w:t>
      </w:r>
      <w:r w:rsidR="004A562F" w:rsidRPr="000F1A4C">
        <w:rPr>
          <w:rFonts w:ascii="Playfair Display" w:hAnsi="Playfair Display" w:cs="Times New Roman"/>
          <w:sz w:val="20"/>
          <w:szCs w:val="20"/>
        </w:rPr>
        <w:t xml:space="preserve"> egy</w:t>
      </w:r>
      <w:r>
        <w:rPr>
          <w:rFonts w:ascii="Playfair Display" w:hAnsi="Playfair Display" w:cs="Times New Roman"/>
          <w:sz w:val="20"/>
          <w:szCs w:val="20"/>
        </w:rPr>
        <w:t xml:space="preserve"> darab</w:t>
      </w:r>
      <w:r w:rsidR="004A562F" w:rsidRPr="000F1A4C">
        <w:rPr>
          <w:rFonts w:ascii="Playfair Display" w:hAnsi="Playfair Display" w:cs="Times New Roman"/>
          <w:sz w:val="20"/>
          <w:szCs w:val="20"/>
        </w:rPr>
        <w:t xml:space="preserve"> kereshető pdf fájlba szükséges összerendezni, az egyes dokumentumok és adatok beazonosítását segítő tartalomjegyzékkel ellátva.</w:t>
      </w:r>
    </w:p>
    <w:p w14:paraId="14F88432" w14:textId="689E9693" w:rsidR="006732A1" w:rsidRDefault="006732A1" w:rsidP="004A562F">
      <w:pPr>
        <w:pStyle w:val="Listaszerbekezds"/>
        <w:numPr>
          <w:ilvl w:val="0"/>
          <w:numId w:val="15"/>
        </w:numPr>
        <w:spacing w:after="60"/>
        <w:ind w:left="426"/>
        <w:jc w:val="both"/>
        <w:rPr>
          <w:rFonts w:ascii="Playfair Display" w:hAnsi="Playfair Display" w:cs="Times New Roman"/>
          <w:sz w:val="20"/>
          <w:szCs w:val="20"/>
        </w:rPr>
      </w:pPr>
      <w:r w:rsidRPr="6A7B61F3">
        <w:rPr>
          <w:rFonts w:ascii="Playfair Display" w:hAnsi="Playfair Display" w:cs="Times New Roman"/>
          <w:sz w:val="20"/>
          <w:szCs w:val="20"/>
        </w:rPr>
        <w:t xml:space="preserve">Az önértékelési eszköz </w:t>
      </w:r>
      <w:r w:rsidR="004875F1" w:rsidRPr="6A7B61F3">
        <w:rPr>
          <w:rFonts w:ascii="Playfair Display" w:hAnsi="Playfair Display" w:cs="Times New Roman"/>
          <w:sz w:val="20"/>
          <w:szCs w:val="20"/>
        </w:rPr>
        <w:t>teljes hossza (az esetleges mellékletek nélkül) ne haladja meg a 3</w:t>
      </w:r>
      <w:r w:rsidR="5C7CC6DE" w:rsidRPr="6A7B61F3">
        <w:rPr>
          <w:rFonts w:ascii="Playfair Display" w:hAnsi="Playfair Display" w:cs="Times New Roman"/>
          <w:sz w:val="20"/>
          <w:szCs w:val="20"/>
        </w:rPr>
        <w:t>5</w:t>
      </w:r>
      <w:r w:rsidR="004875F1" w:rsidRPr="6A7B61F3">
        <w:rPr>
          <w:rFonts w:ascii="Playfair Display" w:hAnsi="Playfair Display" w:cs="Times New Roman"/>
          <w:sz w:val="20"/>
          <w:szCs w:val="20"/>
        </w:rPr>
        <w:t xml:space="preserve"> oldalt. A sablon szerint</w:t>
      </w:r>
      <w:r w:rsidR="0071654F" w:rsidRPr="6A7B61F3">
        <w:rPr>
          <w:rFonts w:ascii="Playfair Display" w:hAnsi="Playfair Display" w:cs="Times New Roman"/>
          <w:sz w:val="20"/>
          <w:szCs w:val="20"/>
        </w:rPr>
        <w:t xml:space="preserve"> kell fel</w:t>
      </w:r>
      <w:r w:rsidR="004875F1" w:rsidRPr="6A7B61F3">
        <w:rPr>
          <w:rFonts w:ascii="Playfair Display" w:hAnsi="Playfair Display" w:cs="Times New Roman"/>
          <w:sz w:val="20"/>
          <w:szCs w:val="20"/>
        </w:rPr>
        <w:t>tüntetni az egyes állításokat alátámasztó hivatkozásokat (pl. linkek a megfelelő szabályzatokhoz, közzétett határozatokhoz).</w:t>
      </w:r>
    </w:p>
    <w:p w14:paraId="6B063AE1" w14:textId="2F0A5F37" w:rsidR="006D7F48" w:rsidRDefault="006D7F48" w:rsidP="006D7F48">
      <w:pPr>
        <w:pStyle w:val="Listaszerbekezds"/>
        <w:spacing w:after="60"/>
        <w:ind w:left="426"/>
        <w:jc w:val="both"/>
        <w:rPr>
          <w:rFonts w:ascii="Playfair Display" w:hAnsi="Playfair Display" w:cs="Times New Roman"/>
          <w:sz w:val="20"/>
          <w:szCs w:val="20"/>
        </w:rPr>
      </w:pPr>
      <w:bookmarkStart w:id="2" w:name="_Hlk181797418"/>
      <w:r w:rsidRPr="4B2F46AC">
        <w:rPr>
          <w:rFonts w:ascii="Playfair Display" w:hAnsi="Playfair Display" w:cs="Times New Roman"/>
          <w:sz w:val="20"/>
          <w:szCs w:val="20"/>
        </w:rPr>
        <w:t>A sablont az alábbi</w:t>
      </w:r>
      <w:r w:rsidR="326E8DCA" w:rsidRPr="4B2F46AC">
        <w:rPr>
          <w:rFonts w:ascii="Playfair Display" w:hAnsi="Playfair Display" w:cs="Times New Roman"/>
          <w:sz w:val="20"/>
          <w:szCs w:val="20"/>
        </w:rPr>
        <w:t xml:space="preserve"> formai szempontok figyelembevételével</w:t>
      </w:r>
      <w:r w:rsidRPr="4B2F46AC">
        <w:rPr>
          <w:rFonts w:ascii="Playfair Display" w:hAnsi="Playfair Display" w:cs="Times New Roman"/>
          <w:sz w:val="20"/>
          <w:szCs w:val="20"/>
        </w:rPr>
        <w:t xml:space="preserve"> szükséges kitölteni:</w:t>
      </w:r>
    </w:p>
    <w:p w14:paraId="764C2581" w14:textId="4E3265DE" w:rsidR="006D7F48" w:rsidRPr="00021747" w:rsidRDefault="006D7F48" w:rsidP="00021747">
      <w:pPr>
        <w:pStyle w:val="Listaszerbekezds"/>
        <w:numPr>
          <w:ilvl w:val="0"/>
          <w:numId w:val="21"/>
        </w:numPr>
        <w:spacing w:after="60"/>
        <w:jc w:val="both"/>
        <w:rPr>
          <w:rFonts w:ascii="Playfair Display" w:hAnsi="Playfair Display" w:cs="Times New Roman"/>
          <w:sz w:val="20"/>
          <w:szCs w:val="20"/>
        </w:rPr>
      </w:pPr>
      <w:r w:rsidRPr="4B2F46AC">
        <w:rPr>
          <w:rFonts w:ascii="Playfair Display" w:hAnsi="Playfair Display" w:cs="Times New Roman"/>
          <w:sz w:val="20"/>
          <w:szCs w:val="20"/>
        </w:rPr>
        <w:t>szimpla sorköz,</w:t>
      </w:r>
    </w:p>
    <w:p w14:paraId="6247B787" w14:textId="0C1B3E4C" w:rsidR="006D7F48" w:rsidRPr="006D7F48" w:rsidRDefault="006D7F48" w:rsidP="006D7F48">
      <w:pPr>
        <w:pStyle w:val="Listaszerbekezds"/>
        <w:numPr>
          <w:ilvl w:val="0"/>
          <w:numId w:val="21"/>
        </w:numPr>
        <w:spacing w:after="60"/>
        <w:jc w:val="both"/>
        <w:rPr>
          <w:rFonts w:ascii="Playfair Display" w:hAnsi="Playfair Display" w:cs="Times New Roman"/>
          <w:sz w:val="20"/>
          <w:szCs w:val="20"/>
        </w:rPr>
      </w:pPr>
      <w:proofErr w:type="spellStart"/>
      <w:r w:rsidRPr="13845DC5">
        <w:rPr>
          <w:rFonts w:ascii="Playfair Display" w:hAnsi="Playfair Display" w:cs="Times New Roman"/>
          <w:sz w:val="20"/>
          <w:szCs w:val="20"/>
        </w:rPr>
        <w:t>max</w:t>
      </w:r>
      <w:proofErr w:type="spellEnd"/>
      <w:r w:rsidRPr="13845DC5">
        <w:rPr>
          <w:rFonts w:ascii="Playfair Display" w:hAnsi="Playfair Display" w:cs="Times New Roman"/>
          <w:sz w:val="20"/>
          <w:szCs w:val="20"/>
        </w:rPr>
        <w:t xml:space="preserve">. 3 </w:t>
      </w:r>
      <w:proofErr w:type="spellStart"/>
      <w:r w:rsidRPr="13845DC5">
        <w:rPr>
          <w:rFonts w:ascii="Playfair Display" w:hAnsi="Playfair Display" w:cs="Times New Roman"/>
          <w:sz w:val="20"/>
          <w:szCs w:val="20"/>
        </w:rPr>
        <w:t>pt</w:t>
      </w:r>
      <w:proofErr w:type="spellEnd"/>
      <w:r w:rsidRPr="13845DC5">
        <w:rPr>
          <w:rFonts w:ascii="Playfair Display" w:hAnsi="Playfair Display" w:cs="Times New Roman"/>
          <w:sz w:val="20"/>
          <w:szCs w:val="20"/>
        </w:rPr>
        <w:t xml:space="preserve"> térköz,</w:t>
      </w:r>
    </w:p>
    <w:p w14:paraId="4D53C700" w14:textId="0F46E23A" w:rsidR="006D7F48" w:rsidRPr="000F1A4C" w:rsidRDefault="006D7F48" w:rsidP="006D7F48">
      <w:pPr>
        <w:pStyle w:val="Listaszerbekezds"/>
        <w:numPr>
          <w:ilvl w:val="0"/>
          <w:numId w:val="21"/>
        </w:numPr>
        <w:spacing w:after="60"/>
        <w:jc w:val="both"/>
        <w:rPr>
          <w:rFonts w:ascii="Playfair Display" w:hAnsi="Playfair Display" w:cs="Times New Roman"/>
          <w:sz w:val="20"/>
          <w:szCs w:val="20"/>
        </w:rPr>
      </w:pPr>
      <w:r w:rsidRPr="4B2F46AC">
        <w:rPr>
          <w:rFonts w:ascii="Playfair Display" w:hAnsi="Playfair Display" w:cs="Times New Roman"/>
          <w:sz w:val="20"/>
          <w:szCs w:val="20"/>
        </w:rPr>
        <w:t>normál margóméret</w:t>
      </w:r>
      <w:r w:rsidR="00897FB6" w:rsidRPr="4B2F46AC">
        <w:rPr>
          <w:rFonts w:ascii="Playfair Display" w:hAnsi="Playfair Display" w:cs="Times New Roman"/>
          <w:sz w:val="20"/>
          <w:szCs w:val="20"/>
        </w:rPr>
        <w:t>.</w:t>
      </w:r>
    </w:p>
    <w:bookmarkEnd w:id="2"/>
    <w:p w14:paraId="18E04916" w14:textId="5F45D305" w:rsidR="006D7F48" w:rsidRPr="00897FB6" w:rsidRDefault="004A562F" w:rsidP="00897FB6">
      <w:pPr>
        <w:pStyle w:val="Listaszerbekezds"/>
        <w:numPr>
          <w:ilvl w:val="0"/>
          <w:numId w:val="15"/>
        </w:numPr>
        <w:spacing w:after="60"/>
        <w:ind w:left="426"/>
        <w:jc w:val="both"/>
        <w:rPr>
          <w:rFonts w:ascii="Playfair Display" w:hAnsi="Playfair Display" w:cs="Times New Roman"/>
          <w:sz w:val="20"/>
          <w:szCs w:val="20"/>
        </w:rPr>
      </w:pPr>
      <w:r w:rsidRPr="35D43EF4">
        <w:rPr>
          <w:rFonts w:ascii="Playfair Display" w:hAnsi="Playfair Display" w:cs="Times New Roman"/>
          <w:sz w:val="20"/>
          <w:szCs w:val="20"/>
        </w:rPr>
        <w:t>Benyújtási felület: MAB Titkársági Információs Rendszer (</w:t>
      </w:r>
      <w:hyperlink r:id="rId11">
        <w:r w:rsidRPr="35D43EF4">
          <w:rPr>
            <w:rStyle w:val="Hiperhivatkozs"/>
            <w:rFonts w:ascii="Playfair Display" w:hAnsi="Playfair Display" w:cs="Times New Roman"/>
            <w:sz w:val="20"/>
            <w:szCs w:val="20"/>
          </w:rPr>
          <w:t>https://tir2.mab.hu</w:t>
        </w:r>
      </w:hyperlink>
      <w:r w:rsidRPr="35D43EF4">
        <w:rPr>
          <w:rFonts w:ascii="Playfair Display" w:hAnsi="Playfair Display" w:cs="Times New Roman"/>
          <w:sz w:val="20"/>
          <w:szCs w:val="20"/>
        </w:rPr>
        <w:t>).</w:t>
      </w:r>
    </w:p>
    <w:p w14:paraId="123C27A6" w14:textId="670318FA" w:rsidR="00295657" w:rsidRPr="000F1A4C" w:rsidRDefault="00295657" w:rsidP="0066005A">
      <w:pPr>
        <w:spacing w:before="240" w:after="60"/>
        <w:jc w:val="both"/>
        <w:rPr>
          <w:rFonts w:ascii="Playfair Display" w:hAnsi="Playfair Display"/>
          <w:b/>
          <w:bCs/>
          <w:sz w:val="20"/>
          <w:szCs w:val="20"/>
        </w:rPr>
      </w:pPr>
      <w:r w:rsidRPr="000F1A4C">
        <w:rPr>
          <w:rFonts w:ascii="Playfair Display" w:hAnsi="Playfair Display"/>
          <w:b/>
          <w:bCs/>
          <w:sz w:val="20"/>
          <w:szCs w:val="20"/>
        </w:rPr>
        <w:t xml:space="preserve">Az </w:t>
      </w:r>
      <w:r w:rsidR="00EE04B4" w:rsidRPr="000F1A4C">
        <w:rPr>
          <w:rFonts w:ascii="Playfair Display" w:hAnsi="Playfair Display"/>
          <w:b/>
          <w:bCs/>
          <w:sz w:val="20"/>
          <w:szCs w:val="20"/>
        </w:rPr>
        <w:t>eljárás ideje alatt</w:t>
      </w:r>
      <w:r w:rsidRPr="000F1A4C">
        <w:rPr>
          <w:rFonts w:ascii="Playfair Display" w:hAnsi="Playfair Display"/>
          <w:b/>
          <w:bCs/>
          <w:sz w:val="20"/>
          <w:szCs w:val="20"/>
        </w:rPr>
        <w:t xml:space="preserve"> bekövetkező változások</w:t>
      </w:r>
      <w:r w:rsidR="00EE04B4" w:rsidRPr="000F1A4C">
        <w:rPr>
          <w:rFonts w:ascii="Playfair Display" w:hAnsi="Playfair Display"/>
          <w:b/>
          <w:bCs/>
          <w:sz w:val="20"/>
          <w:szCs w:val="20"/>
        </w:rPr>
        <w:t xml:space="preserve"> kezelése</w:t>
      </w:r>
    </w:p>
    <w:p w14:paraId="28C9D2DD" w14:textId="2608A278" w:rsidR="00295657" w:rsidRPr="000F1A4C" w:rsidRDefault="00BD7ED4" w:rsidP="007F5207">
      <w:pPr>
        <w:spacing w:after="60"/>
        <w:jc w:val="both"/>
        <w:rPr>
          <w:rFonts w:ascii="Playfair Display" w:hAnsi="Playfair Display"/>
          <w:sz w:val="20"/>
          <w:szCs w:val="20"/>
        </w:rPr>
      </w:pPr>
      <w:r w:rsidRPr="4B2F46AC">
        <w:rPr>
          <w:rFonts w:ascii="Playfair Display" w:hAnsi="Playfair Display"/>
          <w:sz w:val="20"/>
          <w:szCs w:val="20"/>
        </w:rPr>
        <w:t>A</w:t>
      </w:r>
      <w:r w:rsidR="0C95911F" w:rsidRPr="4B2F46AC">
        <w:rPr>
          <w:rFonts w:ascii="Playfair Display" w:hAnsi="Playfair Display"/>
          <w:sz w:val="20"/>
          <w:szCs w:val="20"/>
        </w:rPr>
        <w:t xml:space="preserve"> </w:t>
      </w:r>
      <w:r w:rsidRPr="4B2F46AC">
        <w:rPr>
          <w:rFonts w:ascii="Playfair Display" w:hAnsi="Playfair Display"/>
          <w:sz w:val="20"/>
          <w:szCs w:val="20"/>
        </w:rPr>
        <w:t xml:space="preserve">Látogató Bizottság törekszik </w:t>
      </w:r>
      <w:r w:rsidR="03A62F5A" w:rsidRPr="4B2F46AC">
        <w:rPr>
          <w:rFonts w:ascii="Playfair Display" w:hAnsi="Playfair Display"/>
          <w:sz w:val="20"/>
          <w:szCs w:val="20"/>
        </w:rPr>
        <w:t>az akkreditációs eljárás folyamata alatt bekövetkező változások</w:t>
      </w:r>
      <w:r w:rsidRPr="4B2F46AC">
        <w:rPr>
          <w:rFonts w:ascii="Playfair Display" w:hAnsi="Playfair Display"/>
          <w:sz w:val="20"/>
          <w:szCs w:val="20"/>
        </w:rPr>
        <w:t xml:space="preserve"> figyelembevételére, mindazonáltal az akkreditációs eljárás eredményeként meghozott döntés alapvetően a benyújtott dokumentumokban fennálló körülmények értékelését tükrözi.</w:t>
      </w:r>
    </w:p>
    <w:p w14:paraId="787C9B13" w14:textId="243F281D" w:rsidR="00295657" w:rsidRPr="000F1A4C" w:rsidRDefault="00E82722" w:rsidP="004C189D">
      <w:pPr>
        <w:spacing w:before="360" w:after="60"/>
        <w:jc w:val="both"/>
        <w:rPr>
          <w:rFonts w:ascii="Playfair Display" w:hAnsi="Playfair Display"/>
          <w:b/>
          <w:bCs/>
          <w:sz w:val="20"/>
          <w:szCs w:val="20"/>
        </w:rPr>
      </w:pPr>
      <w:r w:rsidRPr="000F1A4C">
        <w:rPr>
          <w:rFonts w:ascii="Playfair Display" w:hAnsi="Playfair Display"/>
          <w:b/>
          <w:bCs/>
          <w:sz w:val="20"/>
          <w:szCs w:val="20"/>
        </w:rPr>
        <w:t>Mellékletek és egyéb információforrások</w:t>
      </w:r>
    </w:p>
    <w:p w14:paraId="5CF528A1" w14:textId="28D5B0B9" w:rsidR="00BD7ED4" w:rsidRPr="000F1A4C" w:rsidRDefault="00BD7ED4" w:rsidP="00BD7ED4">
      <w:pPr>
        <w:pStyle w:val="Listaszerbekezds"/>
        <w:spacing w:after="60"/>
        <w:ind w:left="0"/>
        <w:jc w:val="both"/>
        <w:rPr>
          <w:rFonts w:ascii="Playfair Display" w:hAnsi="Playfair Display"/>
          <w:sz w:val="20"/>
          <w:szCs w:val="20"/>
        </w:rPr>
      </w:pPr>
      <w:r w:rsidRPr="13845DC5">
        <w:rPr>
          <w:rFonts w:ascii="Playfair Display" w:hAnsi="Playfair Display"/>
          <w:sz w:val="20"/>
          <w:szCs w:val="20"/>
        </w:rPr>
        <w:t xml:space="preserve">A doktori iskola az önértékeléshez bármilyen további, általa </w:t>
      </w:r>
      <w:r w:rsidR="00FC8560" w:rsidRPr="13845DC5">
        <w:rPr>
          <w:rFonts w:ascii="Playfair Display" w:hAnsi="Playfair Display"/>
          <w:sz w:val="20"/>
          <w:szCs w:val="20"/>
        </w:rPr>
        <w:t>lényegesnek, az eljárás szempontjából relevánsnak</w:t>
      </w:r>
      <w:r w:rsidRPr="13845DC5">
        <w:rPr>
          <w:rFonts w:ascii="Playfair Display" w:hAnsi="Playfair Display"/>
          <w:sz w:val="20"/>
          <w:szCs w:val="20"/>
        </w:rPr>
        <w:t xml:space="preserve"> tartott dokumentumot csatolhat mellékletként. Ezeknek a mellékleteknek azonban mindig a dokumentum törzsében megfogalmazott összefoglalások, következtetések alátámasztását kell szolgálniuk.</w:t>
      </w:r>
    </w:p>
    <w:p w14:paraId="3E76DC3F" w14:textId="5A5C549D" w:rsidR="00EE04B4" w:rsidRPr="00BD7ED4" w:rsidRDefault="00BD7ED4" w:rsidP="00390567">
      <w:pPr>
        <w:pStyle w:val="Listaszerbekezds"/>
        <w:spacing w:after="120"/>
        <w:ind w:left="0"/>
        <w:contextualSpacing w:val="0"/>
        <w:jc w:val="both"/>
        <w:rPr>
          <w:rFonts w:ascii="Playfair Display" w:hAnsi="Playfair Display"/>
          <w:sz w:val="20"/>
          <w:szCs w:val="20"/>
        </w:rPr>
      </w:pPr>
      <w:r w:rsidRPr="5B81B7D6">
        <w:rPr>
          <w:rFonts w:ascii="Playfair Display" w:hAnsi="Playfair Display"/>
          <w:sz w:val="20"/>
          <w:szCs w:val="20"/>
        </w:rPr>
        <w:t>Az akkreditációs eljárás ideje alatt – az eljárás kezdeményezésétől a Testület döntésének meghozataláig – a MAB a doktori iskola weboldalára és az MTMT-adatbázisra hiteles tájékoztatási felületként tekint. Az ott szereplő adatokat és információkat a Látogató Bizottság tényként értékeli. A MAB az akkreditációs eljárás során adatot kérhet a Felsőoktatási Információs Rendszerből (FIR) is.</w:t>
      </w:r>
    </w:p>
    <w:p w14:paraId="577F9AF4" w14:textId="5E6B3421" w:rsidR="00450C86" w:rsidRPr="00390567" w:rsidRDefault="00C94588" w:rsidP="00390567">
      <w:pPr>
        <w:pStyle w:val="Cmsor2"/>
      </w:pPr>
      <w:bookmarkStart w:id="3" w:name="_Toc188951775"/>
      <w:bookmarkEnd w:id="1"/>
      <w:r w:rsidRPr="00390567">
        <w:t xml:space="preserve">I.1. </w:t>
      </w:r>
      <w:r w:rsidR="00950B5F" w:rsidRPr="00390567">
        <w:t>D</w:t>
      </w:r>
      <w:r w:rsidR="003861C9" w:rsidRPr="00390567">
        <w:t>oktori iskola létesítési eljárásához</w:t>
      </w:r>
      <w:r w:rsidR="00950B5F" w:rsidRPr="00390567">
        <w:t>, ill. működő doktori iskola új tudományággal történő bővítéséhez</w:t>
      </w:r>
      <w:r w:rsidR="003861C9" w:rsidRPr="00390567">
        <w:t xml:space="preserve"> </w:t>
      </w:r>
      <w:r w:rsidR="004C189D" w:rsidRPr="00390567">
        <w:t>szükséges</w:t>
      </w:r>
      <w:r w:rsidR="003861C9" w:rsidRPr="00390567">
        <w:t xml:space="preserve"> dokumentumok ellenőrző listája</w:t>
      </w:r>
      <w:bookmarkEnd w:id="3"/>
    </w:p>
    <w:p w14:paraId="5E1E8588" w14:textId="77777777" w:rsidR="00980C67" w:rsidRPr="000F1A4C" w:rsidRDefault="00980C67" w:rsidP="00980C67">
      <w:pPr>
        <w:spacing w:after="60"/>
        <w:jc w:val="both"/>
        <w:rPr>
          <w:rFonts w:ascii="Playfair Display" w:hAnsi="Playfair Display" w:cs="Times New Roman"/>
          <w:sz w:val="20"/>
          <w:szCs w:val="20"/>
        </w:rPr>
      </w:pPr>
      <w:bookmarkStart w:id="4" w:name="_Hlk169081052"/>
      <w:r w:rsidRPr="0490789A">
        <w:rPr>
          <w:rFonts w:ascii="Playfair Display" w:hAnsi="Playfair Display" w:cs="Times New Roman"/>
          <w:sz w:val="20"/>
          <w:szCs w:val="20"/>
        </w:rPr>
        <w:t xml:space="preserve">Új doktori iskola létesítése, illetve működő doktori iskola új tudományággal történő bővítése esetén a felsőoktatási intézmény összeállítja a doktori iskolákról, a doktori eljárások rendjéről és a habilitációról szóló 387/2012. (XII. 19.) számú kormányrendeletben (a továbbiakban: Kormányrendelet) meghatározott dokumentumokat és adatokat. </w:t>
      </w:r>
      <w:bookmarkEnd w:id="4"/>
    </w:p>
    <w:p w14:paraId="1DDDFFAC" w14:textId="53F58C2B" w:rsidR="002A34CB" w:rsidRPr="000F1A4C" w:rsidRDefault="00980C67" w:rsidP="00980C67">
      <w:pPr>
        <w:spacing w:after="120"/>
        <w:jc w:val="both"/>
        <w:rPr>
          <w:rFonts w:ascii="Playfair Display" w:hAnsi="Playfair Display" w:cs="Times New Roman"/>
          <w:sz w:val="20"/>
          <w:szCs w:val="20"/>
        </w:rPr>
      </w:pPr>
      <w:r w:rsidRPr="000F1A4C">
        <w:rPr>
          <w:rFonts w:ascii="Playfair Display" w:hAnsi="Playfair Display" w:cs="Times New Roman"/>
          <w:sz w:val="20"/>
          <w:szCs w:val="20"/>
        </w:rPr>
        <w:t>A Kormányrendelet 5. § (1) bekezdése alapján a törzstagok készítik elő a DI létesítésének dokumentumait, amelyek tartalmazzák:</w:t>
      </w:r>
    </w:p>
    <w:tbl>
      <w:tblPr>
        <w:tblStyle w:val="Rcsostblzat"/>
        <w:tblW w:w="9924" w:type="dxa"/>
        <w:tblInd w:w="-431" w:type="dxa"/>
        <w:tblLook w:val="04A0" w:firstRow="1" w:lastRow="0" w:firstColumn="1" w:lastColumn="0" w:noHBand="0" w:noVBand="1"/>
      </w:tblPr>
      <w:tblGrid>
        <w:gridCol w:w="7514"/>
        <w:gridCol w:w="2410"/>
      </w:tblGrid>
      <w:tr w:rsidR="00980C67" w:rsidRPr="000F1A4C" w14:paraId="357283C7" w14:textId="77777777" w:rsidTr="00C51C3A">
        <w:trPr>
          <w:tblHeader/>
        </w:trPr>
        <w:tc>
          <w:tcPr>
            <w:tcW w:w="7514" w:type="dxa"/>
            <w:shd w:val="clear" w:color="auto" w:fill="D9D9D9" w:themeFill="background1" w:themeFillShade="D9"/>
            <w:vAlign w:val="center"/>
          </w:tcPr>
          <w:p w14:paraId="071257C3" w14:textId="77777777" w:rsidR="00980C67" w:rsidRPr="000F1A4C" w:rsidRDefault="00980C67" w:rsidP="003350A6">
            <w:pPr>
              <w:jc w:val="center"/>
              <w:rPr>
                <w:rFonts w:ascii="Playfair Display" w:hAnsi="Playfair Display"/>
                <w:b/>
                <w:bCs/>
                <w:sz w:val="20"/>
                <w:szCs w:val="20"/>
              </w:rPr>
            </w:pPr>
            <w:r w:rsidRPr="000F1A4C">
              <w:rPr>
                <w:rFonts w:ascii="Playfair Display" w:hAnsi="Playfair Display"/>
                <w:b/>
                <w:bCs/>
                <w:sz w:val="20"/>
                <w:szCs w:val="20"/>
              </w:rPr>
              <w:lastRenderedPageBreak/>
              <w:t>Tétel megnevezése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5BD97B9" w14:textId="77777777" w:rsidR="00980C67" w:rsidRPr="000F1A4C" w:rsidRDefault="00980C67" w:rsidP="003350A6">
            <w:pPr>
              <w:jc w:val="center"/>
              <w:rPr>
                <w:rFonts w:ascii="Playfair Display" w:hAnsi="Playfair Display"/>
                <w:b/>
                <w:bCs/>
                <w:sz w:val="20"/>
                <w:szCs w:val="20"/>
              </w:rPr>
            </w:pPr>
            <w:r w:rsidRPr="000F1A4C">
              <w:rPr>
                <w:rFonts w:ascii="Playfair Display" w:hAnsi="Playfair Display"/>
                <w:b/>
                <w:bCs/>
                <w:sz w:val="20"/>
                <w:szCs w:val="20"/>
              </w:rPr>
              <w:t>Létesítési dokumentáció oldalszáma</w:t>
            </w:r>
          </w:p>
        </w:tc>
      </w:tr>
      <w:tr w:rsidR="00980C67" w:rsidRPr="000F1A4C" w14:paraId="47B99CA3" w14:textId="77777777" w:rsidTr="003350A6">
        <w:tc>
          <w:tcPr>
            <w:tcW w:w="7514" w:type="dxa"/>
          </w:tcPr>
          <w:p w14:paraId="05362E88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00F1A4C">
              <w:rPr>
                <w:rFonts w:ascii="Playfair Display" w:hAnsi="Playfair Display"/>
                <w:sz w:val="20"/>
                <w:szCs w:val="20"/>
              </w:rPr>
              <w:t>a) a doktori iskola tudományterületi, tudományági besorolását</w:t>
            </w:r>
          </w:p>
        </w:tc>
        <w:tc>
          <w:tcPr>
            <w:tcW w:w="2410" w:type="dxa"/>
          </w:tcPr>
          <w:p w14:paraId="0AA3C497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07273437" w14:textId="77777777" w:rsidTr="003350A6">
        <w:tc>
          <w:tcPr>
            <w:tcW w:w="7514" w:type="dxa"/>
          </w:tcPr>
          <w:p w14:paraId="36BAF381" w14:textId="77777777" w:rsidR="00980C67" w:rsidRPr="000F1A4C" w:rsidRDefault="00980C67" w:rsidP="003350A6">
            <w:pPr>
              <w:pStyle w:val="Listaszerbekezds"/>
              <w:ind w:left="0"/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5B81B7D6">
              <w:rPr>
                <w:rFonts w:ascii="Playfair Display" w:hAnsi="Playfair Display"/>
                <w:sz w:val="20"/>
                <w:szCs w:val="20"/>
              </w:rPr>
              <w:t xml:space="preserve">b) azokat a mesterképzési szakokat, amelyekre alapozva a felsőoktatási intézmény eleget tesz az </w:t>
            </w:r>
            <w:proofErr w:type="spellStart"/>
            <w:r w:rsidRPr="5B81B7D6">
              <w:rPr>
                <w:rFonts w:ascii="Playfair Display" w:hAnsi="Playfair Display"/>
                <w:sz w:val="20"/>
                <w:szCs w:val="20"/>
              </w:rPr>
              <w:t>Nftv</w:t>
            </w:r>
            <w:proofErr w:type="spellEnd"/>
            <w:r w:rsidRPr="5B81B7D6">
              <w:rPr>
                <w:rFonts w:ascii="Playfair Display" w:hAnsi="Playfair Display"/>
                <w:sz w:val="20"/>
                <w:szCs w:val="20"/>
              </w:rPr>
              <w:t>. 16. § (2) feltételeinek</w:t>
            </w:r>
          </w:p>
        </w:tc>
        <w:tc>
          <w:tcPr>
            <w:tcW w:w="2410" w:type="dxa"/>
          </w:tcPr>
          <w:p w14:paraId="3D1C70FB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46D6D267" w14:textId="77777777" w:rsidTr="003350A6">
        <w:tc>
          <w:tcPr>
            <w:tcW w:w="7514" w:type="dxa"/>
          </w:tcPr>
          <w:p w14:paraId="060ACC18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c) a doktori iskola kutatási területének megnevezését</w:t>
            </w:r>
          </w:p>
        </w:tc>
        <w:tc>
          <w:tcPr>
            <w:tcW w:w="2410" w:type="dxa"/>
          </w:tcPr>
          <w:p w14:paraId="67446B57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5ABCD304" w14:textId="77777777" w:rsidTr="003350A6">
        <w:tc>
          <w:tcPr>
            <w:tcW w:w="7514" w:type="dxa"/>
          </w:tcPr>
          <w:p w14:paraId="3A52A58A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d) a doktori fokozatszerzési eljárás eredményeként kiadható doktori fokozat elnevezését</w:t>
            </w:r>
          </w:p>
        </w:tc>
        <w:tc>
          <w:tcPr>
            <w:tcW w:w="2410" w:type="dxa"/>
          </w:tcPr>
          <w:p w14:paraId="0FA57D19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5A468647" w14:textId="77777777" w:rsidTr="003350A6">
        <w:tc>
          <w:tcPr>
            <w:tcW w:w="7514" w:type="dxa"/>
          </w:tcPr>
          <w:p w14:paraId="18F81D5E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e) a doktori iskola vezetésére jelölt személy nevét, tudományos vagy művészeti önéletrajzát, az előző öt év legfontosabb tudományos (művészeti doktori iskola esetén tudományos vagy művészeti) eredményeinek, alkotásainak dokumentációját</w:t>
            </w:r>
          </w:p>
        </w:tc>
        <w:tc>
          <w:tcPr>
            <w:tcW w:w="2410" w:type="dxa"/>
          </w:tcPr>
          <w:p w14:paraId="018B5B9F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326DE3D1" w14:textId="77777777" w:rsidTr="003350A6">
        <w:tc>
          <w:tcPr>
            <w:tcW w:w="7514" w:type="dxa"/>
          </w:tcPr>
          <w:p w14:paraId="5E9A2F61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a doktori iskola törzstagjainak nevét, tudományos vagy művészeti önéletrajzát, az előző öt év legfontosabb tudományos (művészeti doktori iskola esetén tudományos vagy művészeti) eredményeinek, alkotásainak dokumentációját</w:t>
            </w:r>
          </w:p>
        </w:tc>
        <w:tc>
          <w:tcPr>
            <w:tcW w:w="2410" w:type="dxa"/>
          </w:tcPr>
          <w:p w14:paraId="5C187C85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0E571AC3" w14:textId="77777777" w:rsidTr="003350A6">
        <w:tc>
          <w:tcPr>
            <w:tcW w:w="7514" w:type="dxa"/>
          </w:tcPr>
          <w:p w14:paraId="3CC9992D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a doktori iskola első négy évre javasolt témavezetőinek nevét, tudományos vagy művészeti önéletrajzát, az előző öt év legfontosabb tudományos (művészeti doktori iskola esetén tudományos vagy művészeti) eredményeinek, alkotásainak dokumentációját</w:t>
            </w:r>
          </w:p>
        </w:tc>
        <w:tc>
          <w:tcPr>
            <w:tcW w:w="2410" w:type="dxa"/>
          </w:tcPr>
          <w:p w14:paraId="1D061B6E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69A6206E" w14:textId="77777777" w:rsidTr="003350A6">
        <w:tc>
          <w:tcPr>
            <w:tcW w:w="7514" w:type="dxa"/>
          </w:tcPr>
          <w:p w14:paraId="3EAA6F79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a doktori iskola további oktatóinak, meghívott hazai és külföldi oktatóknak (művészeti doktori iskola esetén művészeknek), kutatóknak a nevét, tudományos vagy művészeti önéletrajzát, az előző öt év legfontosabb tudományos (művészeti doktori iskola esetén tudományos vagy művészeti) eredményeinek, alkotásainak dokumentációját</w:t>
            </w:r>
          </w:p>
        </w:tc>
        <w:tc>
          <w:tcPr>
            <w:tcW w:w="2410" w:type="dxa"/>
          </w:tcPr>
          <w:p w14:paraId="2B835D7C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6DE09B91" w14:textId="77777777" w:rsidTr="003350A6">
        <w:tc>
          <w:tcPr>
            <w:tcW w:w="7514" w:type="dxa"/>
          </w:tcPr>
          <w:p w14:paraId="2537199E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f) a doktori iskola Magyar Képesítési Keretrendszer 8. szintjének megfelelő Képzési Tervét</w:t>
            </w:r>
          </w:p>
        </w:tc>
        <w:tc>
          <w:tcPr>
            <w:tcW w:w="2410" w:type="dxa"/>
          </w:tcPr>
          <w:p w14:paraId="4DDE8D54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7B0CBCCE" w14:textId="77777777" w:rsidTr="003350A6">
        <w:tc>
          <w:tcPr>
            <w:tcW w:w="7514" w:type="dxa"/>
          </w:tcPr>
          <w:p w14:paraId="5CBCF186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g) a doktori iskola nemzetközi kapcsolatait, amelyek a működés során várhatóan figyelembe vehetők</w:t>
            </w:r>
          </w:p>
        </w:tc>
        <w:tc>
          <w:tcPr>
            <w:tcW w:w="2410" w:type="dxa"/>
          </w:tcPr>
          <w:p w14:paraId="578A9897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06FEF453" w14:textId="77777777" w:rsidTr="003350A6">
        <w:tc>
          <w:tcPr>
            <w:tcW w:w="7514" w:type="dxa"/>
          </w:tcPr>
          <w:p w14:paraId="32B436E1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00F1A4C">
              <w:rPr>
                <w:rFonts w:ascii="Playfair Display" w:hAnsi="Playfair Display"/>
                <w:sz w:val="20"/>
                <w:szCs w:val="20"/>
              </w:rPr>
              <w:t xml:space="preserve">h) a doktori iskola Minőségbiztosítási Tervét </w:t>
            </w:r>
            <w:r w:rsidRPr="000F1A4C">
              <w:rPr>
                <w:rFonts w:ascii="Playfair Display" w:hAnsi="Playfair Display"/>
                <w:i/>
                <w:iCs/>
                <w:sz w:val="20"/>
                <w:szCs w:val="20"/>
              </w:rPr>
              <w:t>(vagy szabályzata, eljárásrendje)</w:t>
            </w:r>
          </w:p>
        </w:tc>
        <w:tc>
          <w:tcPr>
            <w:tcW w:w="2410" w:type="dxa"/>
          </w:tcPr>
          <w:p w14:paraId="46AA1BF2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1E4D4800" w14:textId="77777777" w:rsidTr="003350A6">
        <w:tc>
          <w:tcPr>
            <w:tcW w:w="7514" w:type="dxa"/>
          </w:tcPr>
          <w:p w14:paraId="7DEFCCB8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i) a doktori iskola Működési Szabályzatát</w:t>
            </w:r>
          </w:p>
        </w:tc>
        <w:tc>
          <w:tcPr>
            <w:tcW w:w="2410" w:type="dxa"/>
          </w:tcPr>
          <w:p w14:paraId="738DB45D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4B68D0FD" w14:textId="77777777" w:rsidTr="003350A6">
        <w:tc>
          <w:tcPr>
            <w:tcW w:w="7514" w:type="dxa"/>
          </w:tcPr>
          <w:p w14:paraId="15CFF75A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5. § (2) bekezdés: a dokumentációhoz mellékelni kell az érintettek nyilatkozatát arról, hogy vállalják a felkérést, és megfelelnek az e rendeletben rájuk vonatkozóan előírt feltételeknek</w:t>
            </w:r>
          </w:p>
        </w:tc>
        <w:tc>
          <w:tcPr>
            <w:tcW w:w="2410" w:type="dxa"/>
          </w:tcPr>
          <w:p w14:paraId="6650F8E2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0F7CF626" w14:textId="77777777" w:rsidTr="003350A6">
        <w:tc>
          <w:tcPr>
            <w:tcW w:w="7514" w:type="dxa"/>
          </w:tcPr>
          <w:p w14:paraId="0F26606A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 xml:space="preserve">5. § (3) bekezdés: a doktori iskola létesítési dokumentációjának részét képezik a felsőoktatási intézmény által a doktori iskola tevékenységével kapcsolatos együttműködési megállapodások, különös tekintettel a 2. § (5) bekezdésében </w:t>
            </w:r>
            <w:r w:rsidRPr="0490789A">
              <w:rPr>
                <w:rFonts w:ascii="Playfair Display" w:hAnsi="Playfair Display"/>
                <w:i/>
                <w:iCs/>
                <w:sz w:val="20"/>
                <w:szCs w:val="20"/>
              </w:rPr>
              <w:t>- és a 8/A. § (4) bekezdésében-</w:t>
            </w:r>
            <w:r w:rsidRPr="0490789A">
              <w:rPr>
                <w:rFonts w:ascii="Playfair Display" w:hAnsi="Playfair Display"/>
                <w:sz w:val="20"/>
                <w:szCs w:val="20"/>
              </w:rPr>
              <w:t xml:space="preserve"> megjelölt együttműködési megállapodásokra</w:t>
            </w:r>
          </w:p>
        </w:tc>
        <w:tc>
          <w:tcPr>
            <w:tcW w:w="2410" w:type="dxa"/>
          </w:tcPr>
          <w:p w14:paraId="4E4D8891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015AA8F3" w14:textId="77777777" w:rsidTr="003350A6">
        <w:tc>
          <w:tcPr>
            <w:tcW w:w="7514" w:type="dxa"/>
          </w:tcPr>
          <w:p w14:paraId="47FBD09E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6. § (1) bekezdése alapján: a szenátus doktori iskola létesítésére vonatkozó döntését</w:t>
            </w:r>
          </w:p>
        </w:tc>
        <w:tc>
          <w:tcPr>
            <w:tcW w:w="2410" w:type="dxa"/>
          </w:tcPr>
          <w:p w14:paraId="227F1BCF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2CA271EC" w14:textId="77777777" w:rsidTr="003350A6">
        <w:trPr>
          <w:trHeight w:val="495"/>
        </w:trPr>
        <w:tc>
          <w:tcPr>
            <w:tcW w:w="7514" w:type="dxa"/>
          </w:tcPr>
          <w:p w14:paraId="0E10101A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6. § (2) bekezdés:</w:t>
            </w:r>
          </w:p>
          <w:p w14:paraId="1946742A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b) a doktori tanács véleményét</w:t>
            </w:r>
          </w:p>
        </w:tc>
        <w:tc>
          <w:tcPr>
            <w:tcW w:w="2410" w:type="dxa"/>
          </w:tcPr>
          <w:p w14:paraId="3EE32F82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517FF39E" w14:textId="77777777" w:rsidTr="003350A6">
        <w:tc>
          <w:tcPr>
            <w:tcW w:w="7514" w:type="dxa"/>
          </w:tcPr>
          <w:p w14:paraId="6EF924E0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c) a felsőoktatási intézmény doktori iskola létesítésében érintett kutatási területének fejlesztési koncepcióját</w:t>
            </w:r>
          </w:p>
        </w:tc>
        <w:tc>
          <w:tcPr>
            <w:tcW w:w="2410" w:type="dxa"/>
          </w:tcPr>
          <w:p w14:paraId="6708A3C7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79BA27DF" w14:textId="77777777" w:rsidTr="003350A6">
        <w:tc>
          <w:tcPr>
            <w:tcW w:w="7514" w:type="dxa"/>
          </w:tcPr>
          <w:p w14:paraId="34B1C493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d) a felsőoktatási intézmény Doktori Szabályzatát</w:t>
            </w:r>
          </w:p>
        </w:tc>
        <w:tc>
          <w:tcPr>
            <w:tcW w:w="2410" w:type="dxa"/>
          </w:tcPr>
          <w:p w14:paraId="22CEFC84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685DD87D" w14:textId="77777777" w:rsidTr="003350A6">
        <w:tc>
          <w:tcPr>
            <w:tcW w:w="7514" w:type="dxa"/>
          </w:tcPr>
          <w:p w14:paraId="759880A2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e) az arra vonatkozó nyilatkozatot, hogy a doktori iskola honlapján a doktori képzésről évente rendszeres és nyilvános tájékoztatást ad</w:t>
            </w:r>
          </w:p>
        </w:tc>
        <w:tc>
          <w:tcPr>
            <w:tcW w:w="2410" w:type="dxa"/>
          </w:tcPr>
          <w:p w14:paraId="768BB2F8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5F79B67A" w14:textId="77777777" w:rsidTr="003350A6">
        <w:tc>
          <w:tcPr>
            <w:tcW w:w="7514" w:type="dxa"/>
          </w:tcPr>
          <w:p w14:paraId="7347321C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lastRenderedPageBreak/>
              <w:t>a felvételi követelményeket évente a honlapon és a felsőoktatási intézményben szokásos módon is közzéteszi</w:t>
            </w:r>
          </w:p>
        </w:tc>
        <w:tc>
          <w:tcPr>
            <w:tcW w:w="2410" w:type="dxa"/>
          </w:tcPr>
          <w:p w14:paraId="0D5A624C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980C67" w:rsidRPr="000F1A4C" w14:paraId="307F6FA1" w14:textId="77777777" w:rsidTr="003350A6">
        <w:tc>
          <w:tcPr>
            <w:tcW w:w="7514" w:type="dxa"/>
          </w:tcPr>
          <w:p w14:paraId="5B5A615A" w14:textId="77777777" w:rsidR="00980C67" w:rsidRPr="000F1A4C" w:rsidRDefault="00980C67" w:rsidP="003350A6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490789A">
              <w:rPr>
                <w:rFonts w:ascii="Playfair Display" w:hAnsi="Playfair Display"/>
                <w:sz w:val="20"/>
                <w:szCs w:val="20"/>
              </w:rPr>
              <w:t>f) az arra vonatkozó nyilatkozatot, hogy a doktori iskola adatait folyamatosan frissíti, hogy azok a doktori iskola állapotát naprakészen tükrözzék</w:t>
            </w:r>
          </w:p>
        </w:tc>
        <w:tc>
          <w:tcPr>
            <w:tcW w:w="2410" w:type="dxa"/>
          </w:tcPr>
          <w:p w14:paraId="35559D47" w14:textId="77777777" w:rsidR="00980C67" w:rsidRPr="000F1A4C" w:rsidRDefault="00980C67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  <w:tr w:rsidR="001E4ABF" w:rsidRPr="000F1A4C" w14:paraId="256345ED" w14:textId="77777777" w:rsidTr="003350A6">
        <w:tc>
          <w:tcPr>
            <w:tcW w:w="7514" w:type="dxa"/>
          </w:tcPr>
          <w:p w14:paraId="7F9D5E7B" w14:textId="77777777" w:rsidR="001E4ABF" w:rsidRPr="0085711F" w:rsidRDefault="001E4ABF" w:rsidP="003350A6">
            <w:pPr>
              <w:jc w:val="both"/>
              <w:rPr>
                <w:rFonts w:ascii="Playfair Display" w:hAnsi="Playfair Display"/>
                <w:b/>
                <w:bCs/>
                <w:sz w:val="20"/>
                <w:szCs w:val="20"/>
              </w:rPr>
            </w:pPr>
            <w:r w:rsidRPr="0085711F">
              <w:rPr>
                <w:rFonts w:ascii="Playfair Display" w:hAnsi="Playfair Display"/>
                <w:b/>
                <w:bCs/>
                <w:sz w:val="20"/>
                <w:szCs w:val="20"/>
              </w:rPr>
              <w:t>Közös doktori iskola létesítése esetén:</w:t>
            </w:r>
          </w:p>
          <w:p w14:paraId="68FBCA4F" w14:textId="42DCB8D1" w:rsidR="001E4ABF" w:rsidRPr="0490789A" w:rsidRDefault="0085711F" w:rsidP="0085711F">
            <w:pPr>
              <w:jc w:val="both"/>
              <w:rPr>
                <w:rFonts w:ascii="Playfair Display" w:hAnsi="Playfair Display"/>
                <w:sz w:val="20"/>
                <w:szCs w:val="20"/>
              </w:rPr>
            </w:pPr>
            <w:r w:rsidRPr="0085711F">
              <w:rPr>
                <w:rFonts w:ascii="Playfair Display" w:hAnsi="Playfair Display"/>
                <w:sz w:val="20"/>
                <w:szCs w:val="20"/>
              </w:rPr>
              <w:t>6/A. § (1)</w:t>
            </w:r>
            <w:r>
              <w:rPr>
                <w:rFonts w:ascii="Playfair Display" w:hAnsi="Playfair Display"/>
                <w:sz w:val="20"/>
                <w:szCs w:val="20"/>
              </w:rPr>
              <w:t xml:space="preserve"> bekezdés:</w:t>
            </w:r>
            <w:r w:rsidRPr="0085711F">
              <w:rPr>
                <w:rFonts w:ascii="Playfair Display" w:hAnsi="Playfair Display"/>
                <w:sz w:val="20"/>
                <w:szCs w:val="20"/>
              </w:rPr>
              <w:t xml:space="preserve"> Doktori iskolát megállapodásuk alapján több felsőoktatási intézmény is létrehozhat. A megállapodásban rögzíteni kell, melyik felsőoktatási intézmény a doktori iskola a nemzeti felsőoktatásról szóló 2011. évi CCIV. törvény egyes végrehajtásáról szóló 87/2015. (IV. 19.) Korm. rendelet 19. § (3) bekezdés a) pontja szerinti adminisztratív feladatokat ellátó felsőoktatási intézménye és melyik vagy melyek a társ felsőoktatási intézményei.</w:t>
            </w:r>
          </w:p>
        </w:tc>
        <w:tc>
          <w:tcPr>
            <w:tcW w:w="2410" w:type="dxa"/>
          </w:tcPr>
          <w:p w14:paraId="1E8D14CA" w14:textId="77777777" w:rsidR="001E4ABF" w:rsidRPr="000F1A4C" w:rsidRDefault="001E4ABF" w:rsidP="003350A6">
            <w:pPr>
              <w:rPr>
                <w:rFonts w:ascii="Playfair Display" w:hAnsi="Playfair Display"/>
                <w:sz w:val="20"/>
                <w:szCs w:val="20"/>
              </w:rPr>
            </w:pPr>
          </w:p>
        </w:tc>
      </w:tr>
    </w:tbl>
    <w:p w14:paraId="3ACC1131" w14:textId="689B7D29" w:rsidR="001E4ABF" w:rsidRPr="000F1A4C" w:rsidRDefault="001E4ABF" w:rsidP="001E4ABF">
      <w:pPr>
        <w:spacing w:after="60"/>
        <w:jc w:val="both"/>
        <w:rPr>
          <w:rFonts w:ascii="Playfair Display" w:hAnsi="Playfair Display" w:cs="Times New Roman"/>
        </w:rPr>
      </w:pPr>
    </w:p>
    <w:p w14:paraId="3C7A6C8F" w14:textId="77777777" w:rsidR="005D5204" w:rsidRPr="000F1A4C" w:rsidRDefault="005D5204">
      <w:pPr>
        <w:rPr>
          <w:rFonts w:ascii="Playfair Display" w:hAnsi="Playfair Display" w:cs="Times New Roman"/>
        </w:rPr>
      </w:pPr>
      <w:r w:rsidRPr="000F1A4C">
        <w:rPr>
          <w:rFonts w:ascii="Playfair Display" w:hAnsi="Playfair Display" w:cs="Times New Roman"/>
        </w:rPr>
        <w:br w:type="page"/>
      </w:r>
    </w:p>
    <w:p w14:paraId="1EDE55AE" w14:textId="77777777" w:rsidR="006311BF" w:rsidRPr="000F1A4C" w:rsidRDefault="006311BF" w:rsidP="00390567">
      <w:pPr>
        <w:pStyle w:val="Cmsor2"/>
      </w:pPr>
      <w:bookmarkStart w:id="5" w:name="_Toc188951776"/>
      <w:r w:rsidRPr="000F1A4C">
        <w:lastRenderedPageBreak/>
        <w:t>I.2. Önértékelési eszköz</w:t>
      </w:r>
      <w:bookmarkEnd w:id="5"/>
    </w:p>
    <w:p w14:paraId="560E794A" w14:textId="044FEEB8" w:rsidR="0066005A" w:rsidRPr="000F1A4C" w:rsidRDefault="0066005A" w:rsidP="00E75EB3">
      <w:pPr>
        <w:pStyle w:val="Cmsor3"/>
      </w:pPr>
      <w:bookmarkStart w:id="6" w:name="_Toc188951777"/>
      <w:r w:rsidRPr="000F1A4C">
        <w:t>Általános és szervezeti jellemzők</w:t>
      </w:r>
      <w:bookmarkEnd w:id="6"/>
    </w:p>
    <w:p w14:paraId="78BEF126" w14:textId="40CB65D5" w:rsidR="006311BF" w:rsidRPr="000F1A4C" w:rsidRDefault="006311BF" w:rsidP="0066005A">
      <w:pPr>
        <w:rPr>
          <w:rFonts w:ascii="Playfair Display" w:hAnsi="Playfair Display"/>
          <w:b/>
        </w:rPr>
      </w:pPr>
      <w:r w:rsidRPr="000F1A4C">
        <w:rPr>
          <w:rFonts w:ascii="Playfair Display" w:hAnsi="Playfair Display"/>
          <w:b/>
        </w:rPr>
        <w:t>A doktori iskola alapadatai</w:t>
      </w:r>
    </w:p>
    <w:tbl>
      <w:tblPr>
        <w:tblStyle w:val="Rcsostblzat"/>
        <w:tblW w:w="9498" w:type="dxa"/>
        <w:tblInd w:w="-289" w:type="dxa"/>
        <w:tblLook w:val="04A0" w:firstRow="1" w:lastRow="0" w:firstColumn="1" w:lastColumn="0" w:noHBand="0" w:noVBand="1"/>
      </w:tblPr>
      <w:tblGrid>
        <w:gridCol w:w="4957"/>
        <w:gridCol w:w="4541"/>
      </w:tblGrid>
      <w:tr w:rsidR="006311BF" w:rsidRPr="000F1A4C" w14:paraId="188C1E22" w14:textId="77777777" w:rsidTr="22F29152">
        <w:tc>
          <w:tcPr>
            <w:tcW w:w="4957" w:type="dxa"/>
          </w:tcPr>
          <w:p w14:paraId="5036454D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A doktori iskolát működtető felsőoktatási intézmény(</w:t>
            </w:r>
            <w:proofErr w:type="spellStart"/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ek</w:t>
            </w:r>
            <w:proofErr w:type="spellEnd"/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) neve</w:t>
            </w:r>
          </w:p>
        </w:tc>
        <w:tc>
          <w:tcPr>
            <w:tcW w:w="4541" w:type="dxa"/>
          </w:tcPr>
          <w:p w14:paraId="4D0D769C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13648D5F" w14:textId="77777777" w:rsidTr="22F29152">
        <w:tc>
          <w:tcPr>
            <w:tcW w:w="4957" w:type="dxa"/>
          </w:tcPr>
          <w:p w14:paraId="526CC190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neve</w:t>
            </w:r>
          </w:p>
        </w:tc>
        <w:tc>
          <w:tcPr>
            <w:tcW w:w="4541" w:type="dxa"/>
          </w:tcPr>
          <w:p w14:paraId="314A8888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148F28A0" w14:textId="77777777" w:rsidTr="22F29152">
        <w:tc>
          <w:tcPr>
            <w:tcW w:w="4957" w:type="dxa"/>
          </w:tcPr>
          <w:p w14:paraId="13901F53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neve angol nyelven</w:t>
            </w:r>
          </w:p>
        </w:tc>
        <w:tc>
          <w:tcPr>
            <w:tcW w:w="4541" w:type="dxa"/>
          </w:tcPr>
          <w:p w14:paraId="1B0E7445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7559FC4B" w14:textId="77777777" w:rsidTr="22F29152">
        <w:tc>
          <w:tcPr>
            <w:tcW w:w="4957" w:type="dxa"/>
          </w:tcPr>
          <w:p w14:paraId="53164662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címe</w:t>
            </w:r>
          </w:p>
        </w:tc>
        <w:tc>
          <w:tcPr>
            <w:tcW w:w="4541" w:type="dxa"/>
          </w:tcPr>
          <w:p w14:paraId="189709A7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7A6F379D" w14:textId="77777777" w:rsidTr="22F29152">
        <w:trPr>
          <w:trHeight w:val="291"/>
        </w:trPr>
        <w:tc>
          <w:tcPr>
            <w:tcW w:w="4957" w:type="dxa"/>
          </w:tcPr>
          <w:p w14:paraId="1830C508" w14:textId="498F4E60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tervezett weboldalának címe</w:t>
            </w:r>
          </w:p>
        </w:tc>
        <w:tc>
          <w:tcPr>
            <w:tcW w:w="4541" w:type="dxa"/>
          </w:tcPr>
          <w:p w14:paraId="22037A15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58D9792D" w14:textId="77777777" w:rsidTr="22F29152">
        <w:tc>
          <w:tcPr>
            <w:tcW w:w="4957" w:type="dxa"/>
          </w:tcPr>
          <w:p w14:paraId="537C1CAF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vezetője</w:t>
            </w:r>
          </w:p>
        </w:tc>
        <w:tc>
          <w:tcPr>
            <w:tcW w:w="4541" w:type="dxa"/>
          </w:tcPr>
          <w:p w14:paraId="5B6550CC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3B4B374D" w14:textId="77777777" w:rsidTr="22F29152">
        <w:tc>
          <w:tcPr>
            <w:tcW w:w="4957" w:type="dxa"/>
          </w:tcPr>
          <w:p w14:paraId="75622481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képzés nyelve(i)</w:t>
            </w:r>
          </w:p>
        </w:tc>
        <w:tc>
          <w:tcPr>
            <w:tcW w:w="4541" w:type="dxa"/>
          </w:tcPr>
          <w:p w14:paraId="511F5D4D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390567" w:rsidRPr="000F1A4C" w14:paraId="14639DEE" w14:textId="77777777" w:rsidTr="22F29152">
        <w:tc>
          <w:tcPr>
            <w:tcW w:w="4957" w:type="dxa"/>
          </w:tcPr>
          <w:p w14:paraId="3135C1C5" w14:textId="70CD5D77" w:rsidR="00390567" w:rsidRPr="000F1A4C" w:rsidRDefault="00390567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>
              <w:rPr>
                <w:rFonts w:ascii="Playfair Display" w:hAnsi="Playfair Display" w:cstheme="minorHAnsi"/>
                <w:sz w:val="20"/>
                <w:szCs w:val="20"/>
              </w:rPr>
              <w:t>Doktori képzés munkarendje(i) (nappali, levelező, egyéni felkészülés)</w:t>
            </w:r>
          </w:p>
        </w:tc>
        <w:tc>
          <w:tcPr>
            <w:tcW w:w="4541" w:type="dxa"/>
          </w:tcPr>
          <w:p w14:paraId="76577655" w14:textId="77777777" w:rsidR="00390567" w:rsidRPr="000F1A4C" w:rsidRDefault="00390567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36D3780D" w14:textId="77777777" w:rsidTr="22F29152">
        <w:tc>
          <w:tcPr>
            <w:tcW w:w="4957" w:type="dxa"/>
          </w:tcPr>
          <w:p w14:paraId="4F956721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tudományterületi besorolása</w:t>
            </w:r>
          </w:p>
        </w:tc>
        <w:tc>
          <w:tcPr>
            <w:tcW w:w="4541" w:type="dxa"/>
          </w:tcPr>
          <w:p w14:paraId="31A234E1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61FC7E2E" w14:textId="77777777" w:rsidTr="22F29152">
        <w:tc>
          <w:tcPr>
            <w:tcW w:w="4957" w:type="dxa"/>
          </w:tcPr>
          <w:p w14:paraId="69B15C2B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iskola tudományága(i)</w:t>
            </w:r>
          </w:p>
        </w:tc>
        <w:tc>
          <w:tcPr>
            <w:tcW w:w="4541" w:type="dxa"/>
          </w:tcPr>
          <w:p w14:paraId="5429C878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399288CC" w14:textId="77777777" w:rsidTr="22F29152">
        <w:tc>
          <w:tcPr>
            <w:tcW w:w="4957" w:type="dxa"/>
          </w:tcPr>
          <w:p w14:paraId="2E819BB4" w14:textId="490E5CE4" w:rsidR="006311BF" w:rsidRPr="000F1A4C" w:rsidRDefault="006311BF" w:rsidP="00E46503">
            <w:pPr>
              <w:ind w:left="747"/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ezen belül: kutatási/művészeti terület</w:t>
            </w:r>
          </w:p>
        </w:tc>
        <w:tc>
          <w:tcPr>
            <w:tcW w:w="4541" w:type="dxa"/>
          </w:tcPr>
          <w:p w14:paraId="3D3F1EEF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50DFF9A1" w14:textId="77777777" w:rsidTr="22F29152">
        <w:tc>
          <w:tcPr>
            <w:tcW w:w="4957" w:type="dxa"/>
          </w:tcPr>
          <w:p w14:paraId="4596C902" w14:textId="5329AACD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F1A4C">
              <w:rPr>
                <w:rFonts w:ascii="Playfair Display" w:hAnsi="Playfair Display" w:cstheme="minorHAnsi"/>
                <w:sz w:val="20"/>
                <w:szCs w:val="20"/>
              </w:rPr>
              <w:t>Doktori program(ok) megnevezése (ha van)</w:t>
            </w:r>
          </w:p>
        </w:tc>
        <w:tc>
          <w:tcPr>
            <w:tcW w:w="4541" w:type="dxa"/>
          </w:tcPr>
          <w:p w14:paraId="44AA35D5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311BF" w:rsidRPr="000F1A4C" w14:paraId="057C78A2" w14:textId="77777777" w:rsidTr="22F29152">
        <w:tc>
          <w:tcPr>
            <w:tcW w:w="4957" w:type="dxa"/>
          </w:tcPr>
          <w:p w14:paraId="3B7879BE" w14:textId="017AA53D" w:rsidR="006311BF" w:rsidRPr="000F1A4C" w:rsidRDefault="006311BF" w:rsidP="22F29152">
            <w:pPr>
              <w:rPr>
                <w:rFonts w:ascii="Playfair Display" w:hAnsi="Playfair Display"/>
                <w:sz w:val="20"/>
                <w:szCs w:val="20"/>
              </w:rPr>
            </w:pPr>
            <w:r w:rsidRPr="22F29152">
              <w:rPr>
                <w:rFonts w:ascii="Playfair Display" w:hAnsi="Playfair Display"/>
                <w:sz w:val="20"/>
                <w:szCs w:val="20"/>
              </w:rPr>
              <w:t>Kiadott doktori fokozat</w:t>
            </w:r>
            <w:r w:rsidR="1CE4D628" w:rsidRPr="22F29152">
              <w:rPr>
                <w:rFonts w:ascii="Playfair Display" w:hAnsi="Playfair Display"/>
                <w:sz w:val="20"/>
                <w:szCs w:val="20"/>
              </w:rPr>
              <w:t>(ok)</w:t>
            </w:r>
            <w:r w:rsidRPr="22F29152">
              <w:rPr>
                <w:rFonts w:ascii="Playfair Display" w:hAnsi="Playfair Display"/>
                <w:sz w:val="20"/>
                <w:szCs w:val="20"/>
              </w:rPr>
              <w:t xml:space="preserve"> elnevezése (DBA, DLA, PhD)</w:t>
            </w:r>
          </w:p>
        </w:tc>
        <w:tc>
          <w:tcPr>
            <w:tcW w:w="4541" w:type="dxa"/>
          </w:tcPr>
          <w:p w14:paraId="17E34937" w14:textId="77777777" w:rsidR="006311BF" w:rsidRPr="000F1A4C" w:rsidRDefault="006311BF" w:rsidP="00E11862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</w:tbl>
    <w:p w14:paraId="132C946E" w14:textId="77777777" w:rsidR="006311BF" w:rsidRDefault="006311BF" w:rsidP="006311BF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556F1990" w14:textId="54770656" w:rsidR="00040A89" w:rsidRPr="00040A89" w:rsidRDefault="00040A89" w:rsidP="00D54E5B">
      <w:pPr>
        <w:spacing w:before="240" w:after="240" w:line="240" w:lineRule="auto"/>
        <w:rPr>
          <w:rFonts w:ascii="Playfair Display" w:hAnsi="Playfair Display" w:cstheme="minorHAnsi"/>
          <w:b/>
          <w:bCs/>
        </w:rPr>
      </w:pPr>
      <w:r w:rsidRPr="00040A89">
        <w:rPr>
          <w:rFonts w:ascii="Playfair Display" w:hAnsi="Playfair Display" w:cstheme="minorHAnsi"/>
          <w:b/>
          <w:bCs/>
        </w:rPr>
        <w:t>A doktori iskola törzstagjai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900"/>
        <w:gridCol w:w="1890"/>
        <w:gridCol w:w="1335"/>
        <w:gridCol w:w="1610"/>
        <w:gridCol w:w="1762"/>
      </w:tblGrid>
      <w:tr w:rsidR="00040A89" w:rsidRPr="000D2615" w14:paraId="718B28B2" w14:textId="55D477CF" w:rsidTr="00C51C3A">
        <w:trPr>
          <w:trHeight w:val="1223"/>
          <w:tblHeader/>
          <w:jc w:val="center"/>
        </w:trPr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6C29F27" w14:textId="77777777" w:rsidR="00040A89" w:rsidRPr="00040A89" w:rsidRDefault="00040A89" w:rsidP="006E3A62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Név</w:t>
            </w:r>
          </w:p>
        </w:tc>
        <w:tc>
          <w:tcPr>
            <w:tcW w:w="1914" w:type="dxa"/>
            <w:shd w:val="clear" w:color="auto" w:fill="D9D9D9" w:themeFill="background1" w:themeFillShade="D9"/>
            <w:vAlign w:val="center"/>
          </w:tcPr>
          <w:p w14:paraId="43606712" w14:textId="481CF5F4" w:rsidR="00040A89" w:rsidRPr="00040A89" w:rsidRDefault="00040A89" w:rsidP="006E3A62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Tudományág*</w:t>
            </w:r>
          </w:p>
        </w:tc>
        <w:tc>
          <w:tcPr>
            <w:tcW w:w="1908" w:type="dxa"/>
            <w:shd w:val="clear" w:color="auto" w:fill="D9D9D9" w:themeFill="background1" w:themeFillShade="D9"/>
            <w:vAlign w:val="center"/>
          </w:tcPr>
          <w:p w14:paraId="645EF773" w14:textId="1C244297" w:rsidR="00040A89" w:rsidRPr="00040A89" w:rsidRDefault="00040A89" w:rsidP="006E3A62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Munkakör**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2A47F5C8" w14:textId="77777777" w:rsidR="00040A89" w:rsidRPr="00040A89" w:rsidRDefault="00040A89" w:rsidP="006E3A62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040A89">
              <w:rPr>
                <w:rFonts w:ascii="Playfair Display" w:hAnsi="Playfair Display" w:cstheme="minorHAnsi"/>
                <w:b/>
                <w:sz w:val="20"/>
                <w:szCs w:val="20"/>
              </w:rPr>
              <w:t>Törzstagság kezdete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25ACCEED" w14:textId="05585B85" w:rsidR="00040A89" w:rsidRPr="00040A89" w:rsidRDefault="00040A89" w:rsidP="006E3A62">
            <w:pPr>
              <w:jc w:val="center"/>
              <w:rPr>
                <w:rFonts w:ascii="Playfair Display" w:eastAsia="Calibri" w:hAnsi="Playfair Display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 xml:space="preserve">Törzstagság </w:t>
            </w:r>
            <w:r w:rsidRPr="00040A89">
              <w:rPr>
                <w:rFonts w:ascii="Playfair Display" w:eastAsia="Calibri" w:hAnsi="Playfair Display"/>
                <w:b/>
                <w:bCs/>
                <w:sz w:val="20"/>
                <w:szCs w:val="20"/>
              </w:rPr>
              <w:t>várható vége***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53052B45" w14:textId="7794794C" w:rsidR="00040A89" w:rsidRPr="00040A89" w:rsidRDefault="00040A89" w:rsidP="006E3A62">
            <w:pPr>
              <w:jc w:val="center"/>
              <w:rPr>
                <w:rFonts w:ascii="Playfair Display" w:hAnsi="Playfair Display"/>
                <w:b/>
                <w:bCs/>
                <w:sz w:val="20"/>
                <w:szCs w:val="20"/>
              </w:rPr>
            </w:pPr>
            <w:r w:rsidRPr="00040A89">
              <w:rPr>
                <w:rFonts w:ascii="Playfair Display" w:hAnsi="Playfair Display"/>
                <w:b/>
                <w:bCs/>
                <w:sz w:val="20"/>
                <w:szCs w:val="20"/>
              </w:rPr>
              <w:t>Témavezetésével fokozatot szerzett hallgatók száma</w:t>
            </w:r>
          </w:p>
        </w:tc>
      </w:tr>
      <w:tr w:rsidR="00040A89" w:rsidRPr="000D2615" w14:paraId="38967FF3" w14:textId="0859E590" w:rsidTr="4B2F46AC">
        <w:trPr>
          <w:trHeight w:hRule="exact" w:val="265"/>
          <w:jc w:val="center"/>
        </w:trPr>
        <w:tc>
          <w:tcPr>
            <w:tcW w:w="1440" w:type="dxa"/>
            <w:shd w:val="clear" w:color="auto" w:fill="auto"/>
          </w:tcPr>
          <w:p w14:paraId="02A52343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44678B7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6E91C0DF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8A12B49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A068E87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7BC88393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040A89" w:rsidRPr="000D2615" w14:paraId="1E91BE08" w14:textId="566C9C6E" w:rsidTr="4B2F46AC">
        <w:trPr>
          <w:trHeight w:hRule="exact" w:val="265"/>
          <w:jc w:val="center"/>
        </w:trPr>
        <w:tc>
          <w:tcPr>
            <w:tcW w:w="1440" w:type="dxa"/>
            <w:shd w:val="clear" w:color="auto" w:fill="auto"/>
          </w:tcPr>
          <w:p w14:paraId="00B75BE2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54C8EF9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35159DD5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1954BC46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2C79AFD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FBA15E2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040A89" w:rsidRPr="000D2615" w14:paraId="74BB979B" w14:textId="40E6447C" w:rsidTr="4B2F46AC">
        <w:trPr>
          <w:trHeight w:hRule="exact" w:val="265"/>
          <w:jc w:val="center"/>
        </w:trPr>
        <w:tc>
          <w:tcPr>
            <w:tcW w:w="1440" w:type="dxa"/>
            <w:shd w:val="clear" w:color="auto" w:fill="auto"/>
          </w:tcPr>
          <w:p w14:paraId="5833FA18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5D0E459B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079131D0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830BE9E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10DAD3C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5CDE2A87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040A89" w:rsidRPr="000D2615" w14:paraId="25480494" w14:textId="521262F2" w:rsidTr="4B2F46AC">
        <w:trPr>
          <w:trHeight w:hRule="exact" w:val="265"/>
          <w:jc w:val="center"/>
        </w:trPr>
        <w:tc>
          <w:tcPr>
            <w:tcW w:w="1440" w:type="dxa"/>
            <w:shd w:val="clear" w:color="auto" w:fill="auto"/>
          </w:tcPr>
          <w:p w14:paraId="5BB41A15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7596C60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2C9F6310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9A81B86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134E528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266AB8F4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040A89" w:rsidRPr="000D2615" w14:paraId="24A418A4" w14:textId="674636B7" w:rsidTr="4B2F46AC">
        <w:trPr>
          <w:trHeight w:hRule="exact" w:val="265"/>
          <w:jc w:val="center"/>
        </w:trPr>
        <w:tc>
          <w:tcPr>
            <w:tcW w:w="1440" w:type="dxa"/>
            <w:shd w:val="clear" w:color="auto" w:fill="auto"/>
          </w:tcPr>
          <w:p w14:paraId="56E45B76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11959277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3220957B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71356A4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2BEFABF1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0BADEEAA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040A89" w:rsidRPr="000D2615" w14:paraId="506CFCA5" w14:textId="2AA99D9E" w:rsidTr="4B2F46AC">
        <w:trPr>
          <w:trHeight w:hRule="exact" w:val="265"/>
          <w:jc w:val="center"/>
        </w:trPr>
        <w:tc>
          <w:tcPr>
            <w:tcW w:w="1440" w:type="dxa"/>
            <w:shd w:val="clear" w:color="auto" w:fill="auto"/>
          </w:tcPr>
          <w:p w14:paraId="4652081F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540E5E1C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463D31A3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4A60F69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1A9F6C6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810702B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040A89" w:rsidRPr="000D2615" w14:paraId="2496F4C6" w14:textId="39ABFD2F" w:rsidTr="4B2F46AC">
        <w:trPr>
          <w:trHeight w:hRule="exact" w:val="265"/>
          <w:jc w:val="center"/>
        </w:trPr>
        <w:tc>
          <w:tcPr>
            <w:tcW w:w="1440" w:type="dxa"/>
            <w:shd w:val="clear" w:color="auto" w:fill="auto"/>
          </w:tcPr>
          <w:p w14:paraId="0025234E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BC82740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389699C5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495E26D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051C2A7F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161CCC91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040A89" w:rsidRPr="000D2615" w14:paraId="6C2E9E48" w14:textId="69E09E01" w:rsidTr="4B2F46AC">
        <w:trPr>
          <w:trHeight w:hRule="exact" w:val="265"/>
          <w:jc w:val="center"/>
        </w:trPr>
        <w:tc>
          <w:tcPr>
            <w:tcW w:w="1440" w:type="dxa"/>
            <w:shd w:val="clear" w:color="auto" w:fill="auto"/>
          </w:tcPr>
          <w:p w14:paraId="4E3910F8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7E4CC70B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627CDFBD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BA0417B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DFCF421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91A8991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  <w:tr w:rsidR="00040A89" w:rsidRPr="000D2615" w14:paraId="65A4ADFC" w14:textId="3A1C6D85" w:rsidTr="4B2F46AC">
        <w:trPr>
          <w:trHeight w:hRule="exact" w:val="265"/>
          <w:jc w:val="center"/>
        </w:trPr>
        <w:tc>
          <w:tcPr>
            <w:tcW w:w="1440" w:type="dxa"/>
            <w:shd w:val="clear" w:color="auto" w:fill="auto"/>
          </w:tcPr>
          <w:p w14:paraId="537B1994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14" w:type="dxa"/>
          </w:tcPr>
          <w:p w14:paraId="3491327C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908" w:type="dxa"/>
            <w:shd w:val="clear" w:color="auto" w:fill="auto"/>
          </w:tcPr>
          <w:p w14:paraId="414A9238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4D839A5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6285DD6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14:paraId="6FA26C18" w14:textId="77777777" w:rsidR="00040A89" w:rsidRPr="00040A89" w:rsidRDefault="00040A89" w:rsidP="006E3A62">
            <w:pPr>
              <w:rPr>
                <w:rFonts w:ascii="Playfair Display" w:eastAsia="Calibri" w:hAnsi="Playfair Display" w:cstheme="minorHAnsi"/>
                <w:sz w:val="20"/>
                <w:szCs w:val="20"/>
              </w:rPr>
            </w:pPr>
          </w:p>
        </w:tc>
      </w:tr>
    </w:tbl>
    <w:p w14:paraId="796EF07B" w14:textId="5FADF07E" w:rsidR="00040A89" w:rsidRPr="000D2615" w:rsidRDefault="00040A89" w:rsidP="00040A89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300C98BE" w14:textId="28F19848" w:rsidR="00040A89" w:rsidRPr="000D2615" w:rsidRDefault="00040A89" w:rsidP="6A7B61F3">
      <w:pPr>
        <w:tabs>
          <w:tab w:val="left" w:pos="1440"/>
        </w:tabs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 xml:space="preserve">* </w:t>
      </w:r>
      <w:bookmarkStart w:id="7" w:name="_Hlk181798635"/>
      <w:r w:rsidRPr="6A7B61F3">
        <w:rPr>
          <w:rFonts w:ascii="Playfair Display" w:hAnsi="Playfair Display"/>
          <w:sz w:val="18"/>
          <w:szCs w:val="18"/>
        </w:rPr>
        <w:t>Több tudományágban működő doktori iskola esetén</w:t>
      </w:r>
      <w:r w:rsidR="00D576C5" w:rsidRPr="6A7B61F3">
        <w:rPr>
          <w:rFonts w:ascii="Playfair Display" w:hAnsi="Playfair Display"/>
          <w:sz w:val="18"/>
          <w:szCs w:val="18"/>
        </w:rPr>
        <w:t xml:space="preserve"> adja meg, hogy melyik tudományág</w:t>
      </w:r>
      <w:r w:rsidR="00077880" w:rsidRPr="6A7B61F3">
        <w:rPr>
          <w:rFonts w:ascii="Playfair Display" w:hAnsi="Playfair Display"/>
          <w:sz w:val="18"/>
          <w:szCs w:val="18"/>
        </w:rPr>
        <w:t xml:space="preserve">at képviseli </w:t>
      </w:r>
      <w:r w:rsidR="00D576C5" w:rsidRPr="6A7B61F3">
        <w:rPr>
          <w:rFonts w:ascii="Playfair Display" w:hAnsi="Playfair Display"/>
          <w:sz w:val="18"/>
          <w:szCs w:val="18"/>
        </w:rPr>
        <w:t>a törzstag</w:t>
      </w:r>
      <w:r w:rsidR="00077880" w:rsidRPr="6A7B61F3">
        <w:rPr>
          <w:rFonts w:ascii="Playfair Display" w:hAnsi="Playfair Display"/>
          <w:sz w:val="18"/>
          <w:szCs w:val="18"/>
        </w:rPr>
        <w:t xml:space="preserve"> a doktori iskolában</w:t>
      </w:r>
      <w:r w:rsidR="00D576C5" w:rsidRPr="6A7B61F3">
        <w:rPr>
          <w:rFonts w:ascii="Playfair Display" w:hAnsi="Playfair Display"/>
          <w:sz w:val="18"/>
          <w:szCs w:val="18"/>
        </w:rPr>
        <w:t>.</w:t>
      </w:r>
      <w:bookmarkEnd w:id="7"/>
    </w:p>
    <w:p w14:paraId="6E4C86D0" w14:textId="61C23151" w:rsidR="00040A89" w:rsidRPr="000D2615" w:rsidRDefault="00040A89" w:rsidP="6A7B61F3">
      <w:p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** Kérjük, az alábbi munkakörö</w:t>
      </w:r>
      <w:r w:rsidR="00A1027B" w:rsidRPr="6A7B61F3">
        <w:rPr>
          <w:rFonts w:ascii="Playfair Display" w:hAnsi="Playfair Display"/>
          <w:sz w:val="18"/>
          <w:szCs w:val="18"/>
        </w:rPr>
        <w:t>k, pozíció</w:t>
      </w:r>
      <w:r w:rsidRPr="6A7B61F3">
        <w:rPr>
          <w:rFonts w:ascii="Playfair Display" w:hAnsi="Playfair Display"/>
          <w:sz w:val="18"/>
          <w:szCs w:val="18"/>
        </w:rPr>
        <w:t>k egyikét jelölje meg:</w:t>
      </w:r>
    </w:p>
    <w:p w14:paraId="08DCD8F2" w14:textId="77777777" w:rsidR="00040A89" w:rsidRPr="00040A89" w:rsidRDefault="00040A89" w:rsidP="6A7B61F3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Egyetemi tanár</w:t>
      </w:r>
    </w:p>
    <w:p w14:paraId="1B7B674D" w14:textId="77777777" w:rsidR="00040A89" w:rsidRPr="000D2615" w:rsidRDefault="00040A89" w:rsidP="6A7B61F3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Egyetemi tanársegéd/adjunktus/docens/tudományos segédmunkatárs/tudományos munkatárs/tudományos főmunkatárs/tudományos tanácsadó/kutatóprofesszor</w:t>
      </w:r>
    </w:p>
    <w:p w14:paraId="6836AEF7" w14:textId="397FBE0D" w:rsidR="00040A89" w:rsidRPr="000D2615" w:rsidRDefault="00040A89" w:rsidP="6A7B61F3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lastRenderedPageBreak/>
        <w:t>Professor emeritus/</w:t>
      </w:r>
      <w:proofErr w:type="spellStart"/>
      <w:r w:rsidRPr="6A7B61F3">
        <w:rPr>
          <w:rFonts w:ascii="Playfair Display" w:hAnsi="Playfair Display"/>
          <w:sz w:val="18"/>
          <w:szCs w:val="18"/>
        </w:rPr>
        <w:t>emerita</w:t>
      </w:r>
      <w:proofErr w:type="spellEnd"/>
      <w:r w:rsidR="00A1027B" w:rsidRPr="6A7B61F3">
        <w:rPr>
          <w:rFonts w:ascii="Playfair Display" w:hAnsi="Playfair Display"/>
          <w:sz w:val="18"/>
          <w:szCs w:val="18"/>
        </w:rPr>
        <w:t xml:space="preserve"> (művészeti felsőoktatási intézmény esetén nem választható kategória)</w:t>
      </w:r>
      <w:r w:rsidRPr="6A7B61F3">
        <w:rPr>
          <w:rStyle w:val="Lbjegyzet-hivatkozs"/>
          <w:rFonts w:ascii="Playfair Display" w:hAnsi="Playfair Display"/>
          <w:sz w:val="18"/>
          <w:szCs w:val="18"/>
        </w:rPr>
        <w:footnoteReference w:id="4"/>
      </w:r>
    </w:p>
    <w:p w14:paraId="14E32A33" w14:textId="3DF544AC" w:rsidR="00040A89" w:rsidRDefault="00040A89" w:rsidP="6A7B61F3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>Kutatóintézetben foglalkoztatott tudományos tanácsadó vagy kutatóprofesszor (együttműködési megállapodás alapján)</w:t>
      </w:r>
    </w:p>
    <w:p w14:paraId="635917EE" w14:textId="467A474B" w:rsidR="00A1027B" w:rsidRPr="00A1027B" w:rsidRDefault="00A1027B" w:rsidP="6A7B61F3">
      <w:pPr>
        <w:pStyle w:val="Listaszerbekezds"/>
        <w:numPr>
          <w:ilvl w:val="0"/>
          <w:numId w:val="20"/>
        </w:numPr>
        <w:spacing w:after="0" w:line="240" w:lineRule="auto"/>
        <w:rPr>
          <w:rFonts w:ascii="Playfair Display" w:hAnsi="Playfair Display"/>
          <w:sz w:val="18"/>
          <w:szCs w:val="18"/>
        </w:rPr>
      </w:pPr>
      <w:bookmarkStart w:id="8" w:name="_Hlk181799088"/>
      <w:r w:rsidRPr="6A7B61F3">
        <w:rPr>
          <w:rFonts w:ascii="Playfair Display" w:hAnsi="Playfair Display"/>
          <w:sz w:val="18"/>
          <w:szCs w:val="18"/>
        </w:rPr>
        <w:t>Magyar Művészeti Akadémia (a továbbiakban: MMA) akadémikus vagy nem akadémikus köztestületi tag (csak művészeti felsőoktatási intézmények esetében választható kategória)</w:t>
      </w:r>
      <w:bookmarkEnd w:id="8"/>
    </w:p>
    <w:p w14:paraId="55642C26" w14:textId="59A46FAA" w:rsidR="00040A89" w:rsidRPr="000F1A4C" w:rsidRDefault="00040A89" w:rsidP="6A7B61F3">
      <w:pPr>
        <w:tabs>
          <w:tab w:val="left" w:pos="1440"/>
        </w:tabs>
        <w:spacing w:after="0" w:line="240" w:lineRule="auto"/>
        <w:jc w:val="both"/>
        <w:rPr>
          <w:rFonts w:ascii="Playfair Display" w:eastAsia="Playfair Display" w:hAnsi="Playfair Display" w:cs="Playfair Display"/>
          <w:sz w:val="18"/>
          <w:szCs w:val="18"/>
        </w:rPr>
      </w:pPr>
      <w:r w:rsidRPr="6A7B61F3">
        <w:rPr>
          <w:rFonts w:ascii="Playfair Display" w:hAnsi="Playfair Display"/>
          <w:sz w:val="18"/>
          <w:szCs w:val="18"/>
        </w:rPr>
        <w:t xml:space="preserve">*** </w:t>
      </w:r>
      <w:r w:rsidR="2D1B3974" w:rsidRPr="6A7B61F3">
        <w:rPr>
          <w:rFonts w:ascii="Playfair Display" w:hAnsi="Playfair Display"/>
          <w:sz w:val="18"/>
          <w:szCs w:val="18"/>
        </w:rPr>
        <w:t xml:space="preserve">Határozott idejű szerződés esetén a munkaviszony szerződés szerinti vége. </w:t>
      </w:r>
      <w:r w:rsidRPr="6A7B61F3">
        <w:rPr>
          <w:rFonts w:ascii="Playfair Display" w:hAnsi="Playfair Display"/>
          <w:sz w:val="18"/>
          <w:szCs w:val="18"/>
        </w:rPr>
        <w:t xml:space="preserve">Határozatlan idejű szerződés esetén az a dátum, ameddig az érintett a jelenlegi munkakört betöltheti. </w:t>
      </w:r>
      <w:r w:rsidR="1465E67B" w:rsidRPr="6A7B61F3">
        <w:rPr>
          <w:rFonts w:ascii="Playfair Display" w:eastAsia="Playfair Display" w:hAnsi="Playfair Display" w:cs="Playfair Display"/>
          <w:sz w:val="18"/>
          <w:szCs w:val="18"/>
        </w:rPr>
        <w:t xml:space="preserve">Az </w:t>
      </w:r>
      <w:proofErr w:type="spellStart"/>
      <w:r w:rsidR="1465E67B" w:rsidRPr="6A7B61F3">
        <w:rPr>
          <w:rFonts w:ascii="Playfair Display" w:eastAsia="Playfair Display" w:hAnsi="Playfair Display" w:cs="Playfair Display"/>
          <w:sz w:val="18"/>
          <w:szCs w:val="18"/>
        </w:rPr>
        <w:t>Nftv</w:t>
      </w:r>
      <w:proofErr w:type="spellEnd"/>
      <w:r w:rsidR="1465E67B" w:rsidRPr="6A7B61F3">
        <w:rPr>
          <w:rFonts w:ascii="Playfair Display" w:eastAsia="Playfair Display" w:hAnsi="Playfair Display" w:cs="Playfair Display"/>
          <w:sz w:val="18"/>
          <w:szCs w:val="18"/>
        </w:rPr>
        <w:t>. 31. § (4) bekezdésére tekintettel, az intézmény adjon</w:t>
      </w:r>
      <w:r w:rsidR="680BD663" w:rsidRPr="6A7B61F3">
        <w:rPr>
          <w:rFonts w:ascii="Playfair Display" w:eastAsia="Playfair Display" w:hAnsi="Playfair Display" w:cs="Playfair Display"/>
          <w:sz w:val="18"/>
          <w:szCs w:val="18"/>
        </w:rPr>
        <w:t xml:space="preserve"> az önértékelésben</w:t>
      </w:r>
      <w:r w:rsidR="1465E67B" w:rsidRPr="6A7B61F3">
        <w:rPr>
          <w:rFonts w:ascii="Playfair Display" w:eastAsia="Playfair Display" w:hAnsi="Playfair Display" w:cs="Playfair Display"/>
          <w:sz w:val="18"/>
          <w:szCs w:val="18"/>
        </w:rPr>
        <w:t xml:space="preserve"> tájékoztatást a Szervezeti és Működési Szabályzatában meghatározott foglalkoztatási korhatárról.</w:t>
      </w:r>
    </w:p>
    <w:p w14:paraId="172069DE" w14:textId="7E76D3FB" w:rsidR="00474FE6" w:rsidRPr="000F1A4C" w:rsidRDefault="00474FE6" w:rsidP="00474FE6">
      <w:pPr>
        <w:spacing w:before="200" w:after="40" w:line="240" w:lineRule="auto"/>
        <w:jc w:val="both"/>
        <w:rPr>
          <w:rFonts w:ascii="Playfair Display" w:hAnsi="Playfair Display"/>
          <w:b/>
        </w:rPr>
      </w:pPr>
      <w:r w:rsidRPr="6A7B61F3">
        <w:rPr>
          <w:rFonts w:ascii="Playfair Display" w:hAnsi="Playfair Display"/>
          <w:b/>
          <w:bCs/>
        </w:rPr>
        <w:t>Az önértékelés elkészítésének folyamata</w:t>
      </w:r>
    </w:p>
    <w:p w14:paraId="518A158E" w14:textId="6332F74D" w:rsidR="00474FE6" w:rsidRPr="000F1A4C" w:rsidRDefault="45B66548" w:rsidP="6A7B61F3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6A7B61F3">
        <w:rPr>
          <w:rFonts w:ascii="Playfair Display" w:hAnsi="Playfair Display"/>
          <w:i/>
          <w:iCs/>
          <w:sz w:val="20"/>
          <w:szCs w:val="20"/>
        </w:rPr>
        <w:t>Kérjük, 1-3 mondatban írja le: k</w:t>
      </w:r>
      <w:r w:rsidR="00474FE6" w:rsidRPr="6A7B61F3">
        <w:rPr>
          <w:rFonts w:ascii="Playfair Display" w:hAnsi="Playfair Display"/>
          <w:i/>
          <w:iCs/>
          <w:sz w:val="20"/>
          <w:szCs w:val="20"/>
        </w:rPr>
        <w:t>ik, milyen folyamat keretében, milyen munkamegosztásban, milyen lépéseken keresztül állították össze az önértékelést?</w:t>
      </w:r>
    </w:p>
    <w:p w14:paraId="2BDE440B" w14:textId="77777777" w:rsidR="00474FE6" w:rsidRPr="000F1A4C" w:rsidRDefault="00474FE6" w:rsidP="00474FE6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128E17B5" w14:textId="77777777" w:rsidR="00E46503" w:rsidRPr="000F1A4C" w:rsidRDefault="00E46503" w:rsidP="00474FE6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1A243E0D" w14:textId="27E0D720" w:rsidR="00E132C9" w:rsidRPr="000F1A4C" w:rsidRDefault="00E132C9" w:rsidP="00E132C9">
      <w:pPr>
        <w:spacing w:before="200" w:after="40" w:line="240" w:lineRule="auto"/>
        <w:jc w:val="both"/>
        <w:rPr>
          <w:rFonts w:ascii="Playfair Display" w:hAnsi="Playfair Display"/>
          <w:b/>
          <w:bCs/>
        </w:rPr>
      </w:pPr>
      <w:r w:rsidRPr="6A7B61F3">
        <w:rPr>
          <w:rFonts w:ascii="Playfair Display" w:hAnsi="Playfair Display"/>
          <w:b/>
          <w:bCs/>
        </w:rPr>
        <w:t>A doktori iskola profilja</w:t>
      </w:r>
    </w:p>
    <w:p w14:paraId="7B6D4A77" w14:textId="5E128C9B" w:rsidR="00E132C9" w:rsidRPr="000F1A4C" w:rsidRDefault="24BD0C3C" w:rsidP="6A7B61F3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6A7B61F3">
        <w:rPr>
          <w:rFonts w:ascii="Playfair Display" w:hAnsi="Playfair Display"/>
          <w:i/>
          <w:iCs/>
          <w:sz w:val="20"/>
          <w:szCs w:val="20"/>
        </w:rPr>
        <w:t>Kérjük, 1-3 mondatban írja le: m</w:t>
      </w:r>
      <w:r w:rsidR="00E132C9" w:rsidRPr="6A7B61F3">
        <w:rPr>
          <w:rFonts w:ascii="Playfair Display" w:hAnsi="Playfair Display"/>
          <w:i/>
          <w:iCs/>
          <w:sz w:val="20"/>
          <w:szCs w:val="20"/>
        </w:rPr>
        <w:t>elyek a doktori iskola sajátosságai? Helyezze el a magyarországi doktori iskolák palettáján: miben nyújt többet, jobbat vagy mást, mint a többi, hasonló profilú doktori iskola, különös tekintettel a nemzetközi versenyképességre?</w:t>
      </w:r>
    </w:p>
    <w:p w14:paraId="2ACEBDF4" w14:textId="77777777" w:rsidR="00E132C9" w:rsidRPr="000F1A4C" w:rsidRDefault="00E132C9" w:rsidP="00E132C9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685804E9" w14:textId="77777777" w:rsidR="00743EC9" w:rsidRPr="000F1A4C" w:rsidRDefault="00743EC9" w:rsidP="00B858F1">
      <w:pPr>
        <w:spacing w:before="120" w:after="120"/>
        <w:jc w:val="both"/>
        <w:rPr>
          <w:rFonts w:ascii="Playfair Display" w:hAnsi="Playfair Display" w:cs="Times New Roman"/>
        </w:rPr>
      </w:pPr>
    </w:p>
    <w:p w14:paraId="23040615" w14:textId="1D674F0E" w:rsidR="00474FE6" w:rsidRPr="00040A89" w:rsidRDefault="00474FE6" w:rsidP="00590C0D">
      <w:pPr>
        <w:spacing w:before="120" w:after="40"/>
        <w:jc w:val="both"/>
        <w:rPr>
          <w:rFonts w:ascii="Playfair Display" w:hAnsi="Playfair Display"/>
          <w:b/>
          <w:bCs/>
        </w:rPr>
      </w:pPr>
      <w:r w:rsidRPr="00040A89">
        <w:rPr>
          <w:rFonts w:ascii="Playfair Display" w:hAnsi="Playfair Display"/>
          <w:b/>
          <w:bCs/>
        </w:rPr>
        <w:t>A doktori iskola küldetés</w:t>
      </w:r>
      <w:r w:rsidR="00390567">
        <w:rPr>
          <w:rFonts w:ascii="Playfair Display" w:hAnsi="Playfair Display"/>
          <w:b/>
          <w:bCs/>
        </w:rPr>
        <w:t>e</w:t>
      </w:r>
      <w:r w:rsidRPr="00040A89">
        <w:rPr>
          <w:rFonts w:ascii="Playfair Display" w:hAnsi="Playfair Display"/>
          <w:b/>
          <w:bCs/>
        </w:rPr>
        <w:t xml:space="preserve"> és jövőkép</w:t>
      </w:r>
      <w:r w:rsidR="00390567">
        <w:rPr>
          <w:rFonts w:ascii="Playfair Display" w:hAnsi="Playfair Display"/>
          <w:b/>
          <w:bCs/>
        </w:rPr>
        <w:t>e</w:t>
      </w:r>
    </w:p>
    <w:p w14:paraId="196AF8A8" w14:textId="0AC56439" w:rsidR="00474FE6" w:rsidRPr="000F1A4C" w:rsidRDefault="00474FE6" w:rsidP="00590C0D">
      <w:pPr>
        <w:spacing w:after="120"/>
        <w:jc w:val="both"/>
        <w:rPr>
          <w:rFonts w:ascii="Playfair Display" w:hAnsi="Playfair Display"/>
          <w:i/>
          <w:iCs/>
          <w:sz w:val="20"/>
          <w:szCs w:val="20"/>
        </w:rPr>
      </w:pPr>
      <w:r w:rsidRPr="000F1A4C">
        <w:rPr>
          <w:rFonts w:ascii="Playfair Display" w:hAnsi="Playfair Display"/>
          <w:i/>
          <w:iCs/>
          <w:sz w:val="20"/>
          <w:szCs w:val="20"/>
        </w:rPr>
        <w:t>Kérjük, 1-3 mondatban írja le a doktori iskola küldetését, illetve jövőképét!</w:t>
      </w:r>
    </w:p>
    <w:p w14:paraId="049DF146" w14:textId="77777777" w:rsidR="00E46503" w:rsidRPr="000F1A4C" w:rsidRDefault="00E46503" w:rsidP="00743EC9">
      <w:pPr>
        <w:spacing w:before="120" w:after="120"/>
        <w:jc w:val="both"/>
        <w:rPr>
          <w:rFonts w:ascii="Playfair Display" w:hAnsi="Playfair Display" w:cs="Times New Roman"/>
          <w:sz w:val="20"/>
          <w:szCs w:val="20"/>
        </w:rPr>
      </w:pPr>
    </w:p>
    <w:p w14:paraId="3A29F8CF" w14:textId="77777777" w:rsidR="00B748CF" w:rsidRDefault="00B748CF" w:rsidP="7639C9F7">
      <w:pPr>
        <w:spacing w:before="120" w:after="120"/>
        <w:jc w:val="both"/>
        <w:rPr>
          <w:rFonts w:ascii="Playfair Display" w:hAnsi="Playfair Display" w:cs="Times New Roman"/>
          <w:i/>
          <w:iCs/>
          <w:sz w:val="20"/>
          <w:szCs w:val="20"/>
        </w:rPr>
      </w:pPr>
    </w:p>
    <w:p w14:paraId="5F66DD93" w14:textId="753CD7A6" w:rsidR="00474FE6" w:rsidRPr="000F1A4C" w:rsidRDefault="00474FE6" w:rsidP="7639C9F7">
      <w:pPr>
        <w:spacing w:before="120" w:after="120"/>
        <w:jc w:val="both"/>
        <w:rPr>
          <w:rFonts w:ascii="Playfair Display" w:hAnsi="Playfair Display" w:cs="Times New Roman"/>
          <w:i/>
          <w:iCs/>
          <w:sz w:val="20"/>
          <w:szCs w:val="20"/>
        </w:rPr>
      </w:pPr>
      <w:r w:rsidRPr="7639C9F7">
        <w:rPr>
          <w:rFonts w:ascii="Playfair Display" w:hAnsi="Playfair Display" w:cs="Times New Roman"/>
          <w:i/>
          <w:iCs/>
          <w:sz w:val="20"/>
          <w:szCs w:val="20"/>
        </w:rPr>
        <w:t>Az alábbi táblázatban m</w:t>
      </w:r>
      <w:r w:rsidR="00743EC9" w:rsidRPr="7639C9F7">
        <w:rPr>
          <w:rFonts w:ascii="Playfair Display" w:hAnsi="Playfair Display" w:cs="Times New Roman"/>
          <w:i/>
          <w:iCs/>
          <w:sz w:val="20"/>
          <w:szCs w:val="20"/>
        </w:rPr>
        <w:t>utassa be, hogy hogyan jelennek meg a</w:t>
      </w:r>
      <w:r w:rsidR="003F7747" w:rsidRPr="7639C9F7">
        <w:rPr>
          <w:rFonts w:ascii="Playfair Display" w:hAnsi="Playfair Display" w:cs="Times New Roman"/>
          <w:i/>
          <w:iCs/>
          <w:sz w:val="20"/>
          <w:szCs w:val="20"/>
        </w:rPr>
        <w:t xml:space="preserve"> felsőoktatási</w:t>
      </w:r>
      <w:r w:rsidR="00743EC9" w:rsidRPr="7639C9F7">
        <w:rPr>
          <w:rFonts w:ascii="Playfair Display" w:hAnsi="Playfair Display" w:cs="Times New Roman"/>
          <w:i/>
          <w:iCs/>
          <w:sz w:val="20"/>
          <w:szCs w:val="20"/>
        </w:rPr>
        <w:t xml:space="preserve"> intézmény kutatási/művészeti tevékenységében, projektjeiben, és a létesülő új doktori iskolában/</w:t>
      </w:r>
      <w:r w:rsidR="0094546A" w:rsidRPr="7639C9F7">
        <w:rPr>
          <w:rFonts w:ascii="Playfair Display" w:hAnsi="Playfair Display" w:cs="Times New Roman"/>
          <w:i/>
          <w:iCs/>
          <w:sz w:val="20"/>
          <w:szCs w:val="20"/>
        </w:rPr>
        <w:t xml:space="preserve">új tudományági </w:t>
      </w:r>
      <w:r w:rsidR="00743EC9" w:rsidRPr="7639C9F7">
        <w:rPr>
          <w:rFonts w:ascii="Playfair Display" w:hAnsi="Playfair Display" w:cs="Times New Roman"/>
          <w:i/>
          <w:iCs/>
          <w:sz w:val="20"/>
          <w:szCs w:val="20"/>
        </w:rPr>
        <w:t>doktori programjaiban az Európai Kutatási Térség értékei és célkitűzései.</w:t>
      </w:r>
    </w:p>
    <w:p w14:paraId="2C82FB18" w14:textId="77777777" w:rsidR="0066005A" w:rsidRPr="000F1A4C" w:rsidRDefault="0066005A" w:rsidP="00474FE6">
      <w:pPr>
        <w:spacing w:after="0" w:line="240" w:lineRule="auto"/>
        <w:rPr>
          <w:rFonts w:ascii="Playfair Display" w:eastAsia="Times New Roman" w:hAnsi="Playfair Display" w:cs="Times New Roman"/>
          <w:b/>
          <w:bCs/>
          <w:color w:val="000000"/>
          <w:sz w:val="20"/>
          <w:szCs w:val="20"/>
          <w:lang w:eastAsia="hu-HU"/>
        </w:rPr>
        <w:sectPr w:rsidR="0066005A" w:rsidRPr="000F1A4C" w:rsidSect="00AA7E3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20" w:footer="397" w:gutter="0"/>
          <w:cols w:space="708"/>
          <w:titlePg/>
          <w:docGrid w:linePitch="360"/>
        </w:sectPr>
      </w:pPr>
    </w:p>
    <w:tbl>
      <w:tblPr>
        <w:tblW w:w="1531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3219"/>
        <w:gridCol w:w="8931"/>
        <w:gridCol w:w="2555"/>
      </w:tblGrid>
      <w:tr w:rsidR="003F7747" w:rsidRPr="000F1A4C" w14:paraId="6BA2EE59" w14:textId="77777777" w:rsidTr="005C4E0F">
        <w:trPr>
          <w:trHeight w:val="813"/>
          <w:tblHeader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4F8D" w14:textId="77777777" w:rsidR="003F7747" w:rsidRPr="003F7747" w:rsidRDefault="003F7747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bookmarkStart w:id="9" w:name="_Toc42101227"/>
            <w:r w:rsidRPr="003F7747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lastRenderedPageBreak/>
              <w:t>Európai Kutatási Térség értékei és célkitűzései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95C66A" w14:textId="5D923A57" w:rsidR="003F7747" w:rsidRPr="003F7747" w:rsidRDefault="003F7747" w:rsidP="003350A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6A7B61F3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Rövid, tényszerű ismertetés (</w:t>
            </w:r>
            <w:proofErr w:type="spellStart"/>
            <w:r w:rsidRPr="6A7B61F3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max</w:t>
            </w:r>
            <w:proofErr w:type="spellEnd"/>
            <w:r w:rsidRPr="6A7B61F3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 xml:space="preserve">. </w:t>
            </w:r>
            <w:r w:rsidR="49A7E63B" w:rsidRPr="6A7B61F3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2-3 mondat</w:t>
            </w:r>
            <w:r w:rsidRPr="6A7B61F3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/válasz)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E9BA75" w14:textId="77777777" w:rsidR="003F7747" w:rsidRPr="003F7747" w:rsidRDefault="003F7747" w:rsidP="003350A6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3F7747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Alátámasztó dokumentumok, linkek (ha van)</w:t>
            </w:r>
          </w:p>
        </w:tc>
      </w:tr>
      <w:tr w:rsidR="003F7747" w:rsidRPr="000F1A4C" w14:paraId="51F6B8CD" w14:textId="77777777" w:rsidTr="005C4E0F">
        <w:trPr>
          <w:trHeight w:val="41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9EAFFC" w14:textId="77777777" w:rsidR="003F7747" w:rsidRPr="000F1A4C" w:rsidRDefault="003F7747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5B81B7D6">
              <w:rPr>
                <w:rFonts w:ascii="Playfair Display" w:eastAsia="Times New Roman" w:hAnsi="Playfair Display" w:cs="Times New Roman"/>
                <w:b/>
                <w:bCs/>
                <w:color w:val="000000" w:themeColor="text1"/>
                <w:sz w:val="20"/>
                <w:szCs w:val="20"/>
                <w:lang w:eastAsia="hu-HU"/>
              </w:rPr>
              <w:t>A kutatás és az innováció értékei és elvei az Unióban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D246DE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70D7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3F7747" w:rsidRPr="000F1A4C" w14:paraId="3AB323AC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825E" w14:textId="77777777" w:rsidR="003F7747" w:rsidRPr="000F1A4C" w:rsidRDefault="003F7747" w:rsidP="00E75EB3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0739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 értékek megőrzése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DC97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6BB8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3B8FF9FA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4F4F" w14:textId="77777777" w:rsidR="003F7747" w:rsidRPr="000F1A4C" w:rsidRDefault="003F7747" w:rsidP="00E75EB3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a)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4AAA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 kutatás és innováció etikája és integritása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21BE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4287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64D0C955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C9DC" w14:textId="77777777" w:rsidR="003F7747" w:rsidRPr="000F1A4C" w:rsidRDefault="003F7747" w:rsidP="00E75EB3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b)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AED3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 tudományos kutatás szabadsága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AD71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AB41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3AB4C230" w14:textId="77777777" w:rsidTr="005C4E0F">
        <w:trPr>
          <w:trHeight w:val="61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B14C" w14:textId="77777777" w:rsidR="003F7747" w:rsidRPr="000F1A4C" w:rsidRDefault="003F7747" w:rsidP="00E75EB3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c)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8E46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 nemek közötti egyenlőség, a mindenkire kiterjedő esélyegyenlőség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C8DA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4097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4EB5A670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8367" w14:textId="77777777" w:rsidR="003F7747" w:rsidRPr="000F1A4C" w:rsidRDefault="003F7747" w:rsidP="00E75EB3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E9B3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Jobb munkavégzés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455B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78EB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65B99875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F313" w14:textId="77777777" w:rsidR="003F7747" w:rsidRPr="000F1A4C" w:rsidRDefault="003F7747" w:rsidP="00E75EB3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a)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F852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szabad mozgás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2227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0D21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7C6816C1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A8CE" w14:textId="77777777" w:rsidR="003F7747" w:rsidRPr="000F1A4C" w:rsidRDefault="003F7747" w:rsidP="00E75EB3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b)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BAAE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törekvés a kiválóságra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88DE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7673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3A89699A" w14:textId="77777777" w:rsidTr="005C4E0F">
        <w:trPr>
          <w:trHeight w:val="36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E96B" w14:textId="77777777" w:rsidR="003F7747" w:rsidRPr="000F1A4C" w:rsidRDefault="003F7747" w:rsidP="00E75EB3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c)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78BA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értékteremtés, valamint társadalmi és gazdasági hatás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3CA8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BEA4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10C42653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127C" w14:textId="77777777" w:rsidR="003F7747" w:rsidRPr="000F1A4C" w:rsidRDefault="003F7747" w:rsidP="00E75EB3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FB36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Közös munka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0A20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60B6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537489C0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E989" w14:textId="77777777" w:rsidR="003F7747" w:rsidRPr="000F1A4C" w:rsidRDefault="003F7747" w:rsidP="00E75EB3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a)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0D22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koordináció, koherencia és elkötelezettség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7518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E5D8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35238194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7560" w14:textId="77777777" w:rsidR="003F7747" w:rsidRPr="000F1A4C" w:rsidRDefault="003F7747" w:rsidP="00E75EB3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b)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A98E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globális dimenzió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A9F0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580C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289507F6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CD9A" w14:textId="77777777" w:rsidR="003F7747" w:rsidRPr="000F1A4C" w:rsidRDefault="003F7747" w:rsidP="00E75EB3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c)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67AF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inkluzivitás</w:t>
            </w:r>
            <w:proofErr w:type="spellEnd"/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7D25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9C61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38A27A10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3038" w14:textId="77777777" w:rsidR="003F7747" w:rsidRPr="000F1A4C" w:rsidRDefault="003F7747" w:rsidP="00E75EB3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d)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DBF6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társadalmi felelősség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63E1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7DCA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218E694B" w14:textId="77777777" w:rsidTr="005C4E0F">
        <w:trPr>
          <w:trHeight w:val="389"/>
        </w:trPr>
        <w:tc>
          <w:tcPr>
            <w:tcW w:w="15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7CD2" w14:textId="77777777" w:rsidR="003F7747" w:rsidRPr="00ED785D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Az </w:t>
            </w:r>
            <w:r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EKT</w:t>
            </w:r>
            <w:r w:rsidRPr="000F1A4C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4 prioritási területe</w:t>
            </w:r>
          </w:p>
        </w:tc>
      </w:tr>
      <w:tr w:rsidR="003F7747" w:rsidRPr="000F1A4C" w14:paraId="56C91A65" w14:textId="77777777" w:rsidTr="005C4E0F">
        <w:trPr>
          <w:trHeight w:val="389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3663" w14:textId="77777777" w:rsidR="003F7747" w:rsidRPr="000F1A4C" w:rsidRDefault="003F7747" w:rsidP="00E75EB3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737E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 tudás valóban működő belső piacának elmélyítése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889B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885D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1341CB07" w14:textId="77777777" w:rsidTr="005C4E0F">
        <w:trPr>
          <w:trHeight w:val="927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80E2" w14:textId="77777777" w:rsidR="003F7747" w:rsidRPr="000F1A4C" w:rsidRDefault="003F7747" w:rsidP="00E75EB3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lastRenderedPageBreak/>
              <w:t>2.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6965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3A6E8A9E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a zöld és digitális átállás kihívásainak együttes kezelése, valamint a társadalom EKT-ban való részvételének növelése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14F2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45CD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1FC641DA" w14:textId="77777777" w:rsidTr="005C4E0F">
        <w:trPr>
          <w:trHeight w:val="568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8144" w14:textId="77777777" w:rsidR="003F7747" w:rsidRPr="000F1A4C" w:rsidRDefault="003F7747" w:rsidP="00E75EB3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F09C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3A6E8A9E">
              <w:rPr>
                <w:rFonts w:ascii="Playfair Display" w:eastAsia="Times New Roman" w:hAnsi="Playfair Display" w:cs="Calibri"/>
                <w:color w:val="000000" w:themeColor="text1"/>
                <w:sz w:val="20"/>
                <w:szCs w:val="20"/>
                <w:lang w:eastAsia="hu-HU"/>
              </w:rPr>
              <w:t>a kutatási és innovációs kiválósághoz való hozzáférés bővítése Unió-szerte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6186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04C9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3F7747" w:rsidRPr="000F1A4C" w14:paraId="043E4862" w14:textId="77777777" w:rsidTr="005C4E0F">
        <w:trPr>
          <w:trHeight w:val="562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0FD4" w14:textId="77777777" w:rsidR="003F7747" w:rsidRPr="000F1A4C" w:rsidRDefault="003F7747" w:rsidP="00E75EB3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045F" w14:textId="77777777" w:rsidR="003F7747" w:rsidRPr="000F1A4C" w:rsidRDefault="003F7747" w:rsidP="003350A6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az összehangolt kutatási és innovációs beruházások és reformok előmozdítása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6783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CC81" w14:textId="77777777" w:rsidR="003F7747" w:rsidRPr="000F1A4C" w:rsidRDefault="003F7747" w:rsidP="003350A6">
            <w:pPr>
              <w:spacing w:after="0" w:line="240" w:lineRule="auto"/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</w:pPr>
            <w:r w:rsidRPr="000F1A4C">
              <w:rPr>
                <w:rFonts w:ascii="Playfair Display" w:eastAsia="Times New Roman" w:hAnsi="Playfair Display" w:cs="Calibri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</w:tbl>
    <w:p w14:paraId="4F69A118" w14:textId="77777777" w:rsidR="0066005A" w:rsidRDefault="0066005A" w:rsidP="00B858F1">
      <w:pPr>
        <w:spacing w:before="120" w:after="120"/>
        <w:jc w:val="both"/>
        <w:rPr>
          <w:rFonts w:ascii="Playfair Display" w:hAnsi="Playfair Display"/>
        </w:rPr>
      </w:pPr>
    </w:p>
    <w:p w14:paraId="53EE487A" w14:textId="42D2D929" w:rsidR="0094546A" w:rsidRDefault="0094546A" w:rsidP="00B858F1">
      <w:pPr>
        <w:spacing w:before="120" w:after="120"/>
        <w:jc w:val="both"/>
        <w:rPr>
          <w:rFonts w:ascii="Playfair Display" w:hAnsi="Playfair Display" w:cs="Times New Roman"/>
          <w:i/>
          <w:iCs/>
          <w:sz w:val="20"/>
          <w:szCs w:val="20"/>
        </w:rPr>
      </w:pPr>
      <w:r w:rsidRPr="000F1A4C">
        <w:rPr>
          <w:rFonts w:ascii="Playfair Display" w:hAnsi="Playfair Display" w:cs="Times New Roman"/>
          <w:i/>
          <w:iCs/>
          <w:sz w:val="20"/>
          <w:szCs w:val="20"/>
        </w:rPr>
        <w:t xml:space="preserve">Az alábbi táblázatban mutassa be, hogy hogyan </w:t>
      </w:r>
      <w:r>
        <w:rPr>
          <w:rFonts w:ascii="Playfair Display" w:hAnsi="Playfair Display" w:cs="Times New Roman"/>
          <w:i/>
          <w:iCs/>
          <w:sz w:val="20"/>
          <w:szCs w:val="20"/>
        </w:rPr>
        <w:t>vették figyelembe a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 xml:space="preserve"> létesülő új doktori iskol</w:t>
      </w:r>
      <w:r>
        <w:rPr>
          <w:rFonts w:ascii="Playfair Display" w:hAnsi="Playfair Display" w:cs="Times New Roman"/>
          <w:i/>
          <w:iCs/>
          <w:sz w:val="20"/>
          <w:szCs w:val="20"/>
        </w:rPr>
        <w:t>a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>/</w:t>
      </w:r>
      <w:r>
        <w:rPr>
          <w:rFonts w:ascii="Playfair Display" w:hAnsi="Playfair Display" w:cs="Times New Roman"/>
          <w:i/>
          <w:iCs/>
          <w:sz w:val="20"/>
          <w:szCs w:val="20"/>
        </w:rPr>
        <w:t xml:space="preserve">új tudományági 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>doktori program</w:t>
      </w:r>
      <w:r>
        <w:rPr>
          <w:rFonts w:ascii="Playfair Display" w:hAnsi="Playfair Display" w:cs="Times New Roman"/>
          <w:i/>
          <w:iCs/>
          <w:sz w:val="20"/>
          <w:szCs w:val="20"/>
        </w:rPr>
        <w:t>ok kialakítása során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 xml:space="preserve"> a</w:t>
      </w:r>
      <w:r>
        <w:rPr>
          <w:rFonts w:ascii="Playfair Display" w:hAnsi="Playfair Display" w:cs="Times New Roman"/>
          <w:i/>
          <w:iCs/>
          <w:sz w:val="20"/>
          <w:szCs w:val="20"/>
        </w:rPr>
        <w:t xml:space="preserve"> salzburgi alapelveket (2005)</w:t>
      </w:r>
      <w:r w:rsidRPr="000F1A4C">
        <w:rPr>
          <w:rFonts w:ascii="Playfair Display" w:hAnsi="Playfair Display" w:cs="Times New Roman"/>
          <w:i/>
          <w:iCs/>
          <w:sz w:val="20"/>
          <w:szCs w:val="20"/>
        </w:rPr>
        <w:t>.</w:t>
      </w:r>
    </w:p>
    <w:tbl>
      <w:tblPr>
        <w:tblW w:w="1531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4"/>
        <w:gridCol w:w="7654"/>
        <w:gridCol w:w="2552"/>
      </w:tblGrid>
      <w:tr w:rsidR="0094546A" w:rsidRPr="0094546A" w14:paraId="737B8893" w14:textId="77777777" w:rsidTr="005C4E0F">
        <w:trPr>
          <w:trHeight w:val="690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DAF5CA" w14:textId="77777777" w:rsidR="0094546A" w:rsidRPr="005C4E0F" w:rsidRDefault="0094546A" w:rsidP="0094546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Salzburgi alapelv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43FB2" w14:textId="43DC4F17" w:rsidR="0094546A" w:rsidRPr="005C4E0F" w:rsidRDefault="0094546A" w:rsidP="0094546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eastAsia="Times New Roman" w:hAnsi="Playfair Display" w:cs="Times New Roman"/>
                <w:color w:val="000000" w:themeColor="text1"/>
                <w:sz w:val="20"/>
                <w:szCs w:val="20"/>
                <w:lang w:eastAsia="hu-HU"/>
              </w:rPr>
              <w:t>Rövid, tényszerű ismertetés (</w:t>
            </w:r>
            <w:proofErr w:type="spellStart"/>
            <w:r w:rsidRPr="005C4E0F">
              <w:rPr>
                <w:rFonts w:ascii="Playfair Display" w:eastAsia="Times New Roman" w:hAnsi="Playfair Display" w:cs="Times New Roman"/>
                <w:color w:val="000000" w:themeColor="text1"/>
                <w:sz w:val="20"/>
                <w:szCs w:val="20"/>
                <w:lang w:eastAsia="hu-HU"/>
              </w:rPr>
              <w:t>max</w:t>
            </w:r>
            <w:proofErr w:type="spellEnd"/>
            <w:r w:rsidRPr="005C4E0F">
              <w:rPr>
                <w:rFonts w:ascii="Playfair Display" w:eastAsia="Times New Roman" w:hAnsi="Playfair Display" w:cs="Times New Roman"/>
                <w:color w:val="000000" w:themeColor="text1"/>
                <w:sz w:val="20"/>
                <w:szCs w:val="20"/>
                <w:lang w:eastAsia="hu-HU"/>
              </w:rPr>
              <w:t xml:space="preserve">. </w:t>
            </w:r>
            <w:r w:rsidR="2120734C" w:rsidRPr="005C4E0F">
              <w:rPr>
                <w:rFonts w:ascii="Playfair Display" w:eastAsia="Times New Roman" w:hAnsi="Playfair Display" w:cs="Times New Roman"/>
                <w:color w:val="000000" w:themeColor="text1"/>
                <w:sz w:val="20"/>
                <w:szCs w:val="20"/>
                <w:lang w:eastAsia="hu-HU"/>
              </w:rPr>
              <w:t>3</w:t>
            </w:r>
            <w:r w:rsidRPr="005C4E0F">
              <w:rPr>
                <w:rFonts w:ascii="Playfair Display" w:eastAsia="Times New Roman" w:hAnsi="Playfair Display" w:cs="Times New Roman"/>
                <w:color w:val="000000" w:themeColor="text1"/>
                <w:sz w:val="20"/>
                <w:szCs w:val="20"/>
                <w:lang w:eastAsia="hu-HU"/>
              </w:rPr>
              <w:t xml:space="preserve"> mondatban)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C4623" w14:textId="77777777" w:rsidR="0094546A" w:rsidRPr="005C4E0F" w:rsidRDefault="0094546A" w:rsidP="0094546A">
            <w:pPr>
              <w:spacing w:after="0" w:line="240" w:lineRule="auto"/>
              <w:jc w:val="center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Alátámasztó dokumentumok, linkek (ha van)</w:t>
            </w:r>
          </w:p>
        </w:tc>
      </w:tr>
      <w:tr w:rsidR="0094546A" w:rsidRPr="0094546A" w14:paraId="254D6B7C" w14:textId="77777777" w:rsidTr="005C4E0F">
        <w:trPr>
          <w:trHeight w:val="13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63C4" w14:textId="77777777" w:rsidR="0094546A" w:rsidRPr="0094546A" w:rsidRDefault="0094546A" w:rsidP="00F20D90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A doktori képzések alapvető eleme továbbra is az eredeti kutatásokon alapuló újszerű tudományos eredmények létrehozása,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ugyanakkor figyelembe kell venni, hogy a doktori képzéseknek egyre nagyobb mértékben meg kell felelniük az akadémián kívüli munkaerő-piaci elvárásoknak is.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337C" w14:textId="1D99BA00" w:rsidR="0094546A" w:rsidRPr="0094546A" w:rsidRDefault="0094546A" w:rsidP="0094546A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21B9" w14:textId="2D8156B6" w:rsidR="0094546A" w:rsidRPr="0094546A" w:rsidRDefault="0094546A" w:rsidP="0094546A">
            <w:pPr>
              <w:spacing w:after="0" w:line="240" w:lineRule="auto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4546A" w:rsidRPr="0094546A" w14:paraId="6DB9AE9A" w14:textId="77777777" w:rsidTr="005C4E0F">
        <w:trPr>
          <w:trHeight w:val="17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2D25" w14:textId="7995B21C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35D43EF4">
              <w:rPr>
                <w:rFonts w:ascii="Playfair Display" w:eastAsia="Times New Roman" w:hAnsi="Playfair Display" w:cs="Times New Roman"/>
                <w:b/>
                <w:bCs/>
                <w:color w:val="000000" w:themeColor="text1"/>
                <w:sz w:val="20"/>
                <w:szCs w:val="20"/>
                <w:lang w:eastAsia="hu-HU"/>
              </w:rPr>
              <w:lastRenderedPageBreak/>
              <w:t>Beépülés az intézményi stratégiákba és politikákba:</w:t>
            </w:r>
            <w:r w:rsidRPr="35D43EF4">
              <w:rPr>
                <w:rFonts w:ascii="Playfair Display" w:eastAsia="Times New Roman" w:hAnsi="Playfair Display" w:cs="Times New Roman"/>
                <w:color w:val="000000" w:themeColor="text1"/>
                <w:sz w:val="20"/>
                <w:szCs w:val="20"/>
                <w:lang w:eastAsia="hu-HU"/>
              </w:rPr>
              <w:t xml:space="preserve"> az egyetemeknek</w:t>
            </w:r>
            <w:r w:rsidR="6C9C51AD" w:rsidRPr="35D43EF4">
              <w:rPr>
                <w:rFonts w:ascii="Playfair Display" w:eastAsia="Times New Roman" w:hAnsi="Playfair Display" w:cs="Times New Roman"/>
                <w:color w:val="000000" w:themeColor="text1"/>
                <w:sz w:val="20"/>
                <w:szCs w:val="20"/>
                <w:lang w:eastAsia="hu-HU"/>
              </w:rPr>
              <w:t>,</w:t>
            </w:r>
            <w:r w:rsidRPr="35D43EF4">
              <w:rPr>
                <w:rFonts w:ascii="Playfair Display" w:eastAsia="Times New Roman" w:hAnsi="Playfair Display" w:cs="Times New Roman"/>
                <w:color w:val="000000" w:themeColor="text1"/>
                <w:sz w:val="20"/>
                <w:szCs w:val="20"/>
                <w:lang w:eastAsia="hu-HU"/>
              </w:rPr>
              <w:t xml:space="preserve"> mint intézményeknek felelősséget kell vállalniuk azért, hogy az általuk kínált doktori programok és kutatási képzések úgy legyenek kialakítva, hogy azok megfelelnek az új kihívásoknak, és megfelelő szakmai karrierfejlődési lehetőségeket kínáljanak a résztvevők számára.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B327" w14:textId="27FFC843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C509" w14:textId="1AB28D15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4546A" w:rsidRPr="0094546A" w14:paraId="2459A48C" w14:textId="77777777" w:rsidTr="005C4E0F">
        <w:trPr>
          <w:trHeight w:val="10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3CF7" w14:textId="77777777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A sokféleség fontossága: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az európai doktori képzések sokféleségében rejlik (beleértve a közös doktori </w:t>
            </w:r>
            <w:proofErr w:type="spellStart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fokozatokat</w:t>
            </w:r>
            <w:proofErr w:type="spellEnd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is) a színvonal erőssége, amelyet a minőségi képzések és a jó gyakorlatok csak fokoznak.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7C50" w14:textId="4EDB10D5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E5D3" w14:textId="452189AE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4546A" w:rsidRPr="0094546A" w14:paraId="6A01DA36" w14:textId="77777777" w:rsidTr="005C4E0F">
        <w:trPr>
          <w:trHeight w:val="138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60FC" w14:textId="77777777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A doktori hallgatók életpályájuk elején lévő kutatók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early</w:t>
            </w:r>
            <w:proofErr w:type="spellEnd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stage</w:t>
            </w:r>
            <w:proofErr w:type="spellEnd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researcher</w:t>
            </w:r>
            <w:proofErr w:type="spellEnd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): már karrierjüknek ebben a korai fázisában is azonos jogokkal rendelkező szakemberként kell rájuk tekinteni, akik jelentős mértékben hozzájárulnak az új tudományos eredmények létrehozásához.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5A06" w14:textId="32ABAAEF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4DAD" w14:textId="7EC95AAD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4546A" w:rsidRPr="0094546A" w14:paraId="584B6E02" w14:textId="77777777" w:rsidTr="005C4E0F">
        <w:trPr>
          <w:trHeight w:val="17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26D3" w14:textId="371232F3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A felügyelet és az értékelés kritikus szerepe: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doktori hallgatókat illetően, a felügyeletre és az értékelésre vonatkozó rendelkezéseknek átlátható, szerződéses viszonyokon kell alapulniuk a jelöltek, a felügyeletet ellátó tanárok (témavezetők) és az intézmények (illetve</w:t>
            </w:r>
            <w:r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,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ha szükséges, egyéb partnerek) között.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6B5B" w14:textId="0DA8A679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61D2" w14:textId="1A071ABE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4546A" w:rsidRPr="0094546A" w14:paraId="378696B2" w14:textId="77777777" w:rsidTr="005C4E0F">
        <w:trPr>
          <w:trHeight w:val="24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2FD2" w14:textId="77777777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lastRenderedPageBreak/>
              <w:t>El kell érni a „kritikus tömeget”: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az egyes doktori programokban résztvevők számának el kell érniük egy kritikus tömeget. Ez alapulhat az európai egyetemek különböző típusú innovatív megoldásain, figyelembe véve, hogy különböző helyzetekre más-más megoldások lehetnek megfelelőek. Ezek a megoldások átfogják a nagyobb egyetemeken létező fokozatot adó iskoláktól kezdve a különböző nemzetközi, nemzeti vagy regionális szintű egyetemközi együttműködéseket.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771C" w14:textId="62C00044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559F" w14:textId="7AD72357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4546A" w:rsidRPr="0094546A" w14:paraId="74A98C46" w14:textId="77777777" w:rsidTr="005C4E0F">
        <w:trPr>
          <w:trHeight w:val="81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EDA6" w14:textId="77777777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A képzés hossza: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a doktori képzések hosszának megfelelő időkorláton belül kell maradniuk (3–4 év, teljes idős képzés esetén).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E1FB" w14:textId="2A73BD5D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2A82" w14:textId="35345CE5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4546A" w:rsidRPr="0094546A" w14:paraId="3F442939" w14:textId="77777777" w:rsidTr="005C4E0F">
        <w:trPr>
          <w:trHeight w:val="106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4B79" w14:textId="77777777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Innovatív megoldások támogatása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: interdiszciplináris képzések feltételeinek megteremtése; általános készségek (</w:t>
            </w:r>
            <w:proofErr w:type="spellStart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transferable</w:t>
            </w:r>
            <w:proofErr w:type="spellEnd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skills</w:t>
            </w:r>
            <w:proofErr w:type="spellEnd"/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>) képzésének beépítése a doktori programokba.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261E" w14:textId="34DC9B4D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197A" w14:textId="0E3EB836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4546A" w:rsidRPr="0094546A" w14:paraId="39FA5B8A" w14:textId="77777777" w:rsidTr="005C4E0F">
        <w:trPr>
          <w:trHeight w:val="172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499F" w14:textId="77777777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t>Mobilitás növelése: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a doktori programoknak keresniük kell a lehetőséget, hogy hogyan tudnák támogatni a földrajzi, a tudományágak közötti és a különböző szektorok közötti mobilitást, továbbá a nemzetközi együttműködéseket. Mindezt egy, az egyetemek és az egyéb partnerek együttműködésén alapuló integrált kereten belül.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3167" w14:textId="172D9DED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11AF" w14:textId="4C104A50" w:rsidR="0094546A" w:rsidRPr="0094546A" w:rsidRDefault="0094546A" w:rsidP="00027F21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4546A" w:rsidRPr="0094546A" w14:paraId="373E16D0" w14:textId="77777777" w:rsidTr="005C4E0F">
        <w:trPr>
          <w:trHeight w:val="103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855D" w14:textId="77777777" w:rsidR="0094546A" w:rsidRPr="0094546A" w:rsidRDefault="0094546A" w:rsidP="0094546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  <w:r w:rsidRPr="0094546A">
              <w:rPr>
                <w:rFonts w:ascii="Playfair Display" w:eastAsia="Times New Roman" w:hAnsi="Playfair Display" w:cs="Times New Roman"/>
                <w:b/>
                <w:bCs/>
                <w:color w:val="000000"/>
                <w:sz w:val="20"/>
                <w:szCs w:val="20"/>
                <w:lang w:eastAsia="hu-HU"/>
              </w:rPr>
              <w:lastRenderedPageBreak/>
              <w:t>Megfelelő finanszírozás biztosítása:</w:t>
            </w:r>
            <w:r w:rsidRPr="0094546A"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  <w:t xml:space="preserve"> magas szintű doktori programok kialakításának, végrehajtásának feltétele, hogy biztosítva legyen a megfelelő mértékű és fenntartható szintű finanszírozás.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1E86" w14:textId="55E84D3F" w:rsidR="0094546A" w:rsidRPr="0094546A" w:rsidRDefault="0094546A" w:rsidP="0094546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B713" w14:textId="4BE84E84" w:rsidR="0094546A" w:rsidRPr="0094546A" w:rsidRDefault="0094546A" w:rsidP="0094546A">
            <w:pPr>
              <w:spacing w:after="0" w:line="240" w:lineRule="auto"/>
              <w:jc w:val="both"/>
              <w:rPr>
                <w:rFonts w:ascii="Playfair Display" w:eastAsia="Times New Roman" w:hAnsi="Playfair Display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14:paraId="7960D361" w14:textId="77777777" w:rsidR="0094546A" w:rsidRDefault="0094546A" w:rsidP="00B858F1">
      <w:pPr>
        <w:spacing w:before="120" w:after="120"/>
        <w:jc w:val="both"/>
        <w:rPr>
          <w:rFonts w:ascii="Playfair Display" w:hAnsi="Playfair Display"/>
        </w:rPr>
      </w:pPr>
    </w:p>
    <w:p w14:paraId="1E7EAF21" w14:textId="77777777" w:rsidR="0094546A" w:rsidRDefault="0094546A" w:rsidP="00B858F1">
      <w:pPr>
        <w:spacing w:before="120" w:after="120"/>
        <w:jc w:val="both"/>
        <w:rPr>
          <w:rFonts w:ascii="Playfair Display" w:hAnsi="Playfair Display"/>
        </w:rPr>
      </w:pPr>
    </w:p>
    <w:p w14:paraId="37E7974B" w14:textId="77777777" w:rsidR="0094546A" w:rsidRPr="000F1A4C" w:rsidRDefault="0094546A" w:rsidP="00B858F1">
      <w:pPr>
        <w:spacing w:before="120" w:after="120"/>
        <w:jc w:val="both"/>
        <w:rPr>
          <w:rFonts w:ascii="Playfair Display" w:hAnsi="Playfair Display"/>
        </w:rPr>
        <w:sectPr w:rsidR="0094546A" w:rsidRPr="000F1A4C" w:rsidSect="0066005A">
          <w:footerReference w:type="first" r:id="rId18"/>
          <w:pgSz w:w="16838" w:h="11906" w:orient="landscape"/>
          <w:pgMar w:top="1418" w:right="1418" w:bottom="1418" w:left="1418" w:header="720" w:footer="397" w:gutter="0"/>
          <w:cols w:space="708"/>
          <w:titlePg/>
          <w:docGrid w:linePitch="360"/>
        </w:sectPr>
      </w:pPr>
    </w:p>
    <w:p w14:paraId="3D15174E" w14:textId="77777777" w:rsidR="004C4F58" w:rsidRPr="000F1A4C" w:rsidRDefault="004C4F58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7C076082" w14:textId="2D55511A" w:rsidR="00743EC9" w:rsidRDefault="00E46503" w:rsidP="00E75EB3">
      <w:pPr>
        <w:pStyle w:val="Cmsor3"/>
      </w:pPr>
      <w:bookmarkStart w:id="10" w:name="_Toc188951778"/>
      <w:r>
        <w:t>ESG-alapú megfelelésvizsgálat</w:t>
      </w:r>
      <w:bookmarkEnd w:id="9"/>
      <w:bookmarkEnd w:id="10"/>
    </w:p>
    <w:p w14:paraId="604B9274" w14:textId="6FAFD1E3" w:rsidR="00D95180" w:rsidRPr="002853FE" w:rsidRDefault="00D95180" w:rsidP="00D95180">
      <w:pPr>
        <w:jc w:val="both"/>
        <w:rPr>
          <w:rFonts w:ascii="Playfair Display" w:hAnsi="Playfair Display"/>
          <w:sz w:val="20"/>
          <w:szCs w:val="20"/>
        </w:rPr>
      </w:pPr>
      <w:r w:rsidRPr="13845DC5">
        <w:rPr>
          <w:rFonts w:ascii="Playfair Display" w:hAnsi="Playfair Display"/>
          <w:sz w:val="20"/>
          <w:szCs w:val="20"/>
        </w:rPr>
        <w:t>Kérjük, a</w:t>
      </w:r>
      <w:r w:rsidR="004C26A6" w:rsidRPr="13845DC5">
        <w:rPr>
          <w:rFonts w:ascii="Playfair Display" w:hAnsi="Playfair Display"/>
          <w:sz w:val="20"/>
          <w:szCs w:val="20"/>
        </w:rPr>
        <w:t>z egyes ESG-s</w:t>
      </w:r>
      <w:r w:rsidR="4BF47108" w:rsidRPr="13845DC5">
        <w:rPr>
          <w:rFonts w:ascii="Playfair Display" w:hAnsi="Playfair Display"/>
          <w:sz w:val="20"/>
          <w:szCs w:val="20"/>
        </w:rPr>
        <w:t>tandardokhoz</w:t>
      </w:r>
      <w:r w:rsidR="004C26A6" w:rsidRPr="13845DC5">
        <w:rPr>
          <w:rFonts w:ascii="Playfair Display" w:hAnsi="Playfair Display"/>
          <w:sz w:val="20"/>
          <w:szCs w:val="20"/>
        </w:rPr>
        <w:t xml:space="preserve"> kapcsolódó</w:t>
      </w:r>
      <w:r w:rsidRPr="13845DC5">
        <w:rPr>
          <w:rFonts w:ascii="Playfair Display" w:hAnsi="Playfair Display"/>
          <w:sz w:val="20"/>
          <w:szCs w:val="20"/>
        </w:rPr>
        <w:t xml:space="preserve"> táblázatba írják be válaszaikat. Javasoljuk, hogy elemezzék a s</w:t>
      </w:r>
      <w:r w:rsidR="759A6615" w:rsidRPr="13845DC5">
        <w:rPr>
          <w:rFonts w:ascii="Playfair Display" w:hAnsi="Playfair Display"/>
          <w:sz w:val="20"/>
          <w:szCs w:val="20"/>
        </w:rPr>
        <w:t>tandardokkal</w:t>
      </w:r>
      <w:r w:rsidRPr="13845DC5">
        <w:rPr>
          <w:rFonts w:ascii="Playfair Display" w:hAnsi="Playfair Display"/>
          <w:sz w:val="20"/>
          <w:szCs w:val="20"/>
        </w:rPr>
        <w:t xml:space="preserve"> kapcsolatban felmerülő kihívásokat, valamint azt, hogy az intézmény és azon belül a doktori iskola hogyan tervez és reagál(t) ezekre, és milyen folyamatokat, mechanizmusokat működtet, alakított ki ezek megelőzésére, megoldására.</w:t>
      </w:r>
    </w:p>
    <w:p w14:paraId="0EBE0FCE" w14:textId="77777777" w:rsidR="004C26A6" w:rsidRPr="004C26A6" w:rsidRDefault="004C26A6" w:rsidP="00E75EB3">
      <w:pPr>
        <w:pStyle w:val="Cmsor3"/>
      </w:pPr>
      <w:bookmarkStart w:id="11" w:name="_Toc188951779"/>
      <w:r w:rsidRPr="004C26A6">
        <w:t>ESG 1.1 Minőségbiztosítási politika</w:t>
      </w:r>
      <w:bookmarkEnd w:id="11"/>
    </w:p>
    <w:p w14:paraId="54B9E841" w14:textId="34641827" w:rsidR="00E46503" w:rsidRPr="002853FE" w:rsidRDefault="004C26A6" w:rsidP="005C4E0F">
      <w:pP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</w:rPr>
      </w:pPr>
      <w:r w:rsidRPr="13845DC5">
        <w:rPr>
          <w:rFonts w:ascii="Playfair Display" w:hAnsi="Playfair Display" w:cs="Times New Roman"/>
          <w:b/>
          <w:bCs/>
          <w:i/>
          <w:iCs/>
          <w:color w:val="002060"/>
        </w:rPr>
        <w:t>S</w:t>
      </w:r>
      <w:r w:rsidR="3567277E" w:rsidRPr="13845DC5">
        <w:rPr>
          <w:rFonts w:ascii="Playfair Display" w:hAnsi="Playfair Display" w:cs="Times New Roman"/>
          <w:b/>
          <w:bCs/>
          <w:i/>
          <w:iCs/>
          <w:color w:val="002060"/>
        </w:rPr>
        <w:t>tandard</w:t>
      </w:r>
      <w:r w:rsidRPr="13845DC5">
        <w:rPr>
          <w:rFonts w:ascii="Playfair Display" w:hAnsi="Playfair Display" w:cs="Times New Roman"/>
          <w:b/>
          <w:bCs/>
          <w:i/>
          <w:iCs/>
          <w:color w:val="002060"/>
        </w:rPr>
        <w:t>:</w:t>
      </w:r>
      <w:r w:rsidRPr="13845DC5">
        <w:rPr>
          <w:rFonts w:ascii="Playfair Display" w:hAnsi="Playfair Display" w:cs="Times New Roman"/>
          <w:i/>
          <w:iCs/>
          <w:color w:val="002060"/>
        </w:rPr>
        <w:t xml:space="preserve"> Az intézmények rendelkezzenek publikus és a stratégiai menedzsment részét képező minőségbiztosítási politikával. Ezt a belső érintettek [azaz a hallgatók, az oktatók és a nem oktató személyzet] dolgozzák ki és valósítsák meg, megfelelő struktúrák és folyamatok révén, a külső érintettek [felhasználók, munkaadók, partnerek] bevonásával.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4961"/>
        <w:gridCol w:w="5386"/>
        <w:gridCol w:w="1985"/>
      </w:tblGrid>
      <w:tr w:rsidR="00C123AE" w:rsidRPr="00C123AE" w14:paraId="77B2AF12" w14:textId="163837FF" w:rsidTr="000D5C35">
        <w:trPr>
          <w:trHeight w:hRule="exact" w:val="907"/>
          <w:tblHeader/>
        </w:trPr>
        <w:tc>
          <w:tcPr>
            <w:tcW w:w="2553" w:type="dxa"/>
            <w:shd w:val="clear" w:color="auto" w:fill="D9D9D9" w:themeFill="background1" w:themeFillShade="D9"/>
            <w:vAlign w:val="center"/>
            <w:hideMark/>
          </w:tcPr>
          <w:p w14:paraId="03B0FCA2" w14:textId="77777777" w:rsidR="00C123AE" w:rsidRPr="005C4E0F" w:rsidRDefault="00C123AE" w:rsidP="006227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Értékelési szempontok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  <w:hideMark/>
          </w:tcPr>
          <w:p w14:paraId="37D881D5" w14:textId="77777777" w:rsidR="00C123AE" w:rsidRPr="005C4E0F" w:rsidRDefault="00C123AE" w:rsidP="006227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Témakörhöz kapcsolódó kérdések</w:t>
            </w: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  <w:hideMark/>
          </w:tcPr>
          <w:p w14:paraId="07F99DF3" w14:textId="77777777" w:rsidR="00C123AE" w:rsidRPr="005C4E0F" w:rsidRDefault="00C123AE" w:rsidP="00622749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Teljesülés rövid ismertetése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5C8E0FF" w14:textId="0D171864" w:rsidR="00C123AE" w:rsidRPr="005C4E0F" w:rsidRDefault="00C123AE" w:rsidP="00622749">
            <w:pPr>
              <w:jc w:val="center"/>
              <w:rPr>
                <w:rFonts w:ascii="Playfair Display" w:hAnsi="Playfair Display" w:cs="Calibri"/>
                <w:sz w:val="20"/>
                <w:szCs w:val="20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Alátámasztó dokumentumok, linkek</w:t>
            </w:r>
          </w:p>
        </w:tc>
      </w:tr>
      <w:tr w:rsidR="00C123AE" w:rsidRPr="00C123AE" w14:paraId="6B4893A8" w14:textId="066C4253" w:rsidTr="000D5C35">
        <w:trPr>
          <w:trHeight w:val="680"/>
        </w:trPr>
        <w:tc>
          <w:tcPr>
            <w:tcW w:w="2553" w:type="dxa"/>
            <w:vMerge w:val="restart"/>
            <w:shd w:val="clear" w:color="auto" w:fill="auto"/>
            <w:vAlign w:val="center"/>
            <w:hideMark/>
          </w:tcPr>
          <w:p w14:paraId="1CF34B24" w14:textId="5A869E5B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5E2ACC3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Az intézmény </w:t>
            </w:r>
            <w:r w:rsidR="07A40C37" w:rsidRPr="5E2ACC3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belső </w:t>
            </w:r>
            <w:r w:rsidRPr="5E2ACC3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minőség</w:t>
            </w:r>
            <w:r w:rsidR="69877714" w:rsidRPr="5E2ACC3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biztosítási</w:t>
            </w:r>
            <w:r w:rsidRPr="5E2ACC3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rendszerrel rendelkezik, amely eredményesen támogatja a DI oktatási és kutatási/művészeti tevékenységét és annak továbbfejlesztését, az oktatók/témavezetők és a doktoranduszok szakmai fejlődését és a nemzetközi </w:t>
            </w:r>
            <w:r w:rsidRPr="5E2ACC3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lastRenderedPageBreak/>
              <w:t>tudományos/művészeti életben való, megfelelő színvonalú részvételt.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C965276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lastRenderedPageBreak/>
              <w:t xml:space="preserve">Milyen minőségcélokat állít maga elé a DI, és milyen indikátorok alapján méri ezek teljesülését? 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6DE63D0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023919A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548EDD62" w14:textId="639A2203" w:rsidTr="000D5C35">
        <w:trPr>
          <w:trHeight w:val="370"/>
        </w:trPr>
        <w:tc>
          <w:tcPr>
            <w:tcW w:w="2553" w:type="dxa"/>
            <w:vMerge/>
            <w:vAlign w:val="center"/>
            <w:hideMark/>
          </w:tcPr>
          <w:p w14:paraId="5A55966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077EFB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Hogyan határozza meg a DI versenyképességének kritériumait?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34343AD0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2B17C115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11657FC3" w14:textId="49571400" w:rsidTr="000D5C35">
        <w:trPr>
          <w:trHeight w:val="1020"/>
        </w:trPr>
        <w:tc>
          <w:tcPr>
            <w:tcW w:w="2553" w:type="dxa"/>
            <w:vMerge/>
            <w:vAlign w:val="center"/>
            <w:hideMark/>
          </w:tcPr>
          <w:p w14:paraId="07CFD4D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B250695" w14:textId="1F264BA5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5E2ACC3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 egységes intézményi minőség</w:t>
            </w:r>
            <w:r w:rsidR="18FD79E4" w:rsidRPr="5E2ACC3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biztosítási</w:t>
            </w:r>
            <w:r w:rsidRPr="5E2ACC3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rendszerben miként érvényesülnek a doktori képzés sajátos szempontjai, és miként vesz részt a DI a folyamatok továbbfejlesztésében? 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667A711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2CA727E2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5C23EB50" w14:textId="23B1C173" w:rsidTr="000D5C35">
        <w:trPr>
          <w:trHeight w:val="680"/>
        </w:trPr>
        <w:tc>
          <w:tcPr>
            <w:tcW w:w="2553" w:type="dxa"/>
            <w:vMerge/>
            <w:vAlign w:val="center"/>
            <w:hideMark/>
          </w:tcPr>
          <w:p w14:paraId="7DE3209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D67813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Hogyan biztosított az összhang a DI minőségcéljai és az intézményi fejlesztési terv (IFT) között?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56D56583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75572307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380CFCFB" w14:textId="2AE7C3F9" w:rsidTr="000D5C35">
        <w:trPr>
          <w:trHeight w:val="680"/>
        </w:trPr>
        <w:tc>
          <w:tcPr>
            <w:tcW w:w="2553" w:type="dxa"/>
            <w:vMerge/>
            <w:vAlign w:val="center"/>
            <w:hideMark/>
          </w:tcPr>
          <w:p w14:paraId="690744A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6E1F71D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Hogyan mérik a doktoranduszok, az oktatók/témavezetők és a DI bizottságainak teljesítményét?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35D1E6B5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1855E7D3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03F62821" w14:textId="32AB3E41" w:rsidTr="000D5C35">
        <w:trPr>
          <w:trHeight w:val="1020"/>
        </w:trPr>
        <w:tc>
          <w:tcPr>
            <w:tcW w:w="2553" w:type="dxa"/>
            <w:vMerge w:val="restart"/>
            <w:shd w:val="clear" w:color="auto" w:fill="auto"/>
            <w:vAlign w:val="center"/>
            <w:hideMark/>
          </w:tcPr>
          <w:p w14:paraId="6551FC6D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DI-t érintő környezeti és társadalmi változások.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54DDA3C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Melyek az intézménytől független nehézségek, amelyeket a DI nem tud befolyásolni, de figyelembe kell vennie (pl. fenntartóváltás, hallgatói létszámok alakulása, a szakterület nemzetközi trendjei)?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66B9F434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6E800AB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412914C5" w14:textId="41281D25" w:rsidTr="000D5C35">
        <w:trPr>
          <w:trHeight w:val="680"/>
        </w:trPr>
        <w:tc>
          <w:tcPr>
            <w:tcW w:w="2553" w:type="dxa"/>
            <w:vMerge/>
            <w:vAlign w:val="center"/>
            <w:hideMark/>
          </w:tcPr>
          <w:p w14:paraId="156E29CC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E46263D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Milyen külső és belső korlátok állnak fenn, és mit tesz a DI a nehézségek és korlátok hatásának mérséklésére?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2435D5A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3AF2E84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3F340C7D" w14:textId="13C61C2D" w:rsidTr="000D5C35">
        <w:trPr>
          <w:trHeight w:val="680"/>
        </w:trPr>
        <w:tc>
          <w:tcPr>
            <w:tcW w:w="2553" w:type="dxa"/>
            <w:vMerge w:val="restart"/>
            <w:shd w:val="clear" w:color="auto" w:fill="auto"/>
            <w:vAlign w:val="center"/>
            <w:hideMark/>
          </w:tcPr>
          <w:p w14:paraId="600EA1C1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DI a külső és belső érdekeltek bevonásával kidolgozott, hivatalosan elfogadott, rendszeresen felülvizsgált és dokumentált minőségbiztosítási alrendszerrel rendelkezik az intézmény minőségbiztosítási rendszerén belül, ahhoz szervesen illeszkedve.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C60614D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Kik és milyen eljárásban dolgozzák ki és vizsgálják felül a DI működési folyamataira kiterjedő minőségbiztosítási rendszert? 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088187F0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3233B427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737F235D" w14:textId="049312CA" w:rsidTr="000D5C35">
        <w:trPr>
          <w:trHeight w:val="370"/>
        </w:trPr>
        <w:tc>
          <w:tcPr>
            <w:tcW w:w="2553" w:type="dxa"/>
            <w:vMerge/>
            <w:vAlign w:val="center"/>
            <w:hideMark/>
          </w:tcPr>
          <w:p w14:paraId="4ACFDC6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347D9E0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Egységes intézményi rendszer esetében miként vesz ebben részt a DI? 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167E3A86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194481F6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383B7EA7" w14:textId="743A8525" w:rsidTr="000D5C35">
        <w:trPr>
          <w:trHeight w:val="680"/>
        </w:trPr>
        <w:tc>
          <w:tcPr>
            <w:tcW w:w="2553" w:type="dxa"/>
            <w:vMerge/>
            <w:vAlign w:val="center"/>
            <w:hideMark/>
          </w:tcPr>
          <w:p w14:paraId="6F7CA543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BDCEC8F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Szerepel-e, ill. mekkora súllyal szerepelnek benne a hallgatói értékelések, visszajelzések?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056BEF1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0412C0E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73116432" w14:textId="5E7FE78A" w:rsidTr="000D5C35">
        <w:trPr>
          <w:trHeight w:val="680"/>
        </w:trPr>
        <w:tc>
          <w:tcPr>
            <w:tcW w:w="2553" w:type="dxa"/>
            <w:vMerge/>
            <w:vAlign w:val="center"/>
            <w:hideMark/>
          </w:tcPr>
          <w:p w14:paraId="5D76A695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BE17AC5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vonja be a DI a különböző érdekelt feleket a minőségbiztosítási rendszere kialakításába, működtetésébe és továbbfejlesztésébe? 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042FACD7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6BE26FB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546F58B9" w14:textId="68E5F1B0" w:rsidTr="000D5C35">
        <w:trPr>
          <w:trHeight w:val="370"/>
        </w:trPr>
        <w:tc>
          <w:tcPr>
            <w:tcW w:w="2553" w:type="dxa"/>
            <w:vMerge/>
            <w:vAlign w:val="center"/>
            <w:hideMark/>
          </w:tcPr>
          <w:p w14:paraId="7D3DD642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851AB2C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biztosítják az érdekeltek felelősségvállalását? 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002080F1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5875DE27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7414563B" w14:textId="3CD8699E" w:rsidTr="000D5C35">
        <w:trPr>
          <w:trHeight w:val="370"/>
        </w:trPr>
        <w:tc>
          <w:tcPr>
            <w:tcW w:w="2553" w:type="dxa"/>
            <w:vMerge/>
            <w:vAlign w:val="center"/>
            <w:hideMark/>
          </w:tcPr>
          <w:p w14:paraId="4EAB8B32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607DCC6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Melyek a DI minőségirányításával kapcsolatos legfőbb alapelvek? 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16AD6914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55589801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28B1B23B" w14:textId="42CC54C0" w:rsidTr="000D5C35">
        <w:trPr>
          <w:trHeight w:val="370"/>
        </w:trPr>
        <w:tc>
          <w:tcPr>
            <w:tcW w:w="2553" w:type="dxa"/>
            <w:vMerge/>
            <w:vAlign w:val="center"/>
            <w:hideMark/>
          </w:tcPr>
          <w:p w14:paraId="4B3D04E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EF2DCB9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Melyek a DI minőségbiztosítási rendszerének dokumentumai?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460AA33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33DC234A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5CBE0FB5" w14:textId="1F42AA0C" w:rsidTr="000D5C35">
        <w:trPr>
          <w:trHeight w:val="680"/>
        </w:trPr>
        <w:tc>
          <w:tcPr>
            <w:tcW w:w="2553" w:type="dxa"/>
            <w:vMerge/>
            <w:vAlign w:val="center"/>
            <w:hideMark/>
          </w:tcPr>
          <w:p w14:paraId="440F3C8D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792D321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Ki(k) kezeli(k), frissíti(k) ezeket a dokumentumokat, biztosítva azok naprakészségét és elérhetőségét az érdekelt felek számára?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76BA4DA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5B8251DE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248AF90D" w14:textId="318BA4BD" w:rsidTr="000D5C35">
        <w:trPr>
          <w:trHeight w:val="1360"/>
        </w:trPr>
        <w:tc>
          <w:tcPr>
            <w:tcW w:w="2553" w:type="dxa"/>
            <w:shd w:val="clear" w:color="auto" w:fill="auto"/>
            <w:vAlign w:val="center"/>
            <w:hideMark/>
          </w:tcPr>
          <w:p w14:paraId="026D74EA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minőségbiztosítási politikát a gyakorlatba átültető eljárások hatékonyan biztosítják a felsőoktatási és tudományos élet tisztességének és szabadságának védelmét, valamint a csalás, az intolerancia és a diszkrimináció elleni fellépést.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C2AE689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Hogyan biztosítják az akadémiai integritást és lépnek fel a csalás (pl. etikai vétség, plágium), az intolerancia és a diszkrimináció ellen?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54DAF215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553BC080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</w:tbl>
    <w:p w14:paraId="5D676B0B" w14:textId="77777777" w:rsidR="004C26A6" w:rsidRDefault="004C26A6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06025FC6" w14:textId="77777777" w:rsidR="004C26A6" w:rsidRPr="004C26A6" w:rsidRDefault="004C26A6" w:rsidP="00E75EB3">
      <w:pPr>
        <w:pStyle w:val="Cmsor3"/>
        <w:rPr>
          <w:rFonts w:eastAsiaTheme="minorHAnsi"/>
        </w:rPr>
      </w:pPr>
      <w:bookmarkStart w:id="12" w:name="_Toc42101229"/>
      <w:bookmarkStart w:id="13" w:name="_Toc188951780"/>
      <w:r w:rsidRPr="004C26A6">
        <w:rPr>
          <w:rFonts w:eastAsiaTheme="minorHAnsi"/>
        </w:rPr>
        <w:t>ESG 1.2 és 1.9 A képzési programok kialakítása és jóváhagyása; folyamatos figyelemmel kísérése és rendszeres értékelése</w:t>
      </w:r>
      <w:bookmarkEnd w:id="12"/>
      <w:bookmarkEnd w:id="13"/>
      <w:r w:rsidRPr="004C26A6" w:rsidDel="006F2F68">
        <w:rPr>
          <w:rFonts w:eastAsiaTheme="minorHAnsi"/>
        </w:rPr>
        <w:t xml:space="preserve"> </w:t>
      </w:r>
    </w:p>
    <w:p w14:paraId="2420E76D" w14:textId="5E34445E" w:rsidR="004C26A6" w:rsidRPr="000D2615" w:rsidRDefault="004C26A6" w:rsidP="13845DC5">
      <w:pPr>
        <w:spacing w:after="0" w:line="240" w:lineRule="auto"/>
        <w:jc w:val="both"/>
        <w:rPr>
          <w:rFonts w:ascii="Playfair Display" w:hAnsi="Playfair Display" w:cs="Times New Roman"/>
          <w:i/>
          <w:iCs/>
          <w:color w:val="002060"/>
        </w:rPr>
      </w:pPr>
      <w:r w:rsidRPr="13845DC5">
        <w:rPr>
          <w:rFonts w:ascii="Playfair Display" w:hAnsi="Playfair Display"/>
          <w:b/>
          <w:bCs/>
          <w:color w:val="002060"/>
        </w:rPr>
        <w:t>S</w:t>
      </w:r>
      <w:r w:rsidR="7615B8AD" w:rsidRPr="13845DC5">
        <w:rPr>
          <w:rFonts w:ascii="Playfair Display" w:hAnsi="Playfair Display"/>
          <w:b/>
          <w:bCs/>
          <w:color w:val="002060"/>
        </w:rPr>
        <w:t>tandardok</w:t>
      </w:r>
      <w:r w:rsidRPr="13845DC5">
        <w:rPr>
          <w:rFonts w:ascii="Playfair Display" w:hAnsi="Playfair Display"/>
          <w:b/>
          <w:bCs/>
          <w:color w:val="002060"/>
        </w:rPr>
        <w:t>:</w:t>
      </w:r>
      <w:r w:rsidRPr="13845DC5">
        <w:rPr>
          <w:rFonts w:ascii="Playfair Display" w:hAnsi="Playfair Display"/>
          <w:b/>
          <w:bCs/>
          <w:i/>
          <w:iCs/>
          <w:color w:val="002060"/>
        </w:rPr>
        <w:t xml:space="preserve"> </w:t>
      </w:r>
      <w:r w:rsidRPr="13845DC5">
        <w:rPr>
          <w:rFonts w:ascii="Playfair Display" w:hAnsi="Playfair Display" w:cs="Times New Roman"/>
          <w:i/>
          <w:iCs/>
          <w:color w:val="002060"/>
        </w:rPr>
        <w:t>Az intézmények rendelkezzenek folyamatokkal képzési programjaik kialakítására és jóváhagyására. A képzési programokat úgy kell kialakítani, hogy elérjék kitűzött céljaikat, beleértve az elvárt tanulási eredményeket. A program révén megszerezhető képesítés legyen világosan meghatározott és közölt, utalással a nemzeti képesítési keretrendszer megfelelő szintjére, s ennek révén az Európai Felsőoktatási Térség képesítési keretrendszerére.</w:t>
      </w:r>
    </w:p>
    <w:p w14:paraId="095F05C9" w14:textId="23F3A694" w:rsidR="004C26A6" w:rsidRPr="002853FE" w:rsidRDefault="004C26A6" w:rsidP="005C4E0F">
      <w:pPr>
        <w:spacing w:after="240" w:line="240" w:lineRule="auto"/>
        <w:jc w:val="both"/>
        <w:rPr>
          <w:rFonts w:ascii="Playfair Display" w:hAnsi="Playfair Display" w:cs="Times New Roman"/>
          <w:i/>
          <w:color w:val="002060"/>
          <w:szCs w:val="24"/>
        </w:rPr>
      </w:pPr>
      <w:r w:rsidRPr="000D2615">
        <w:rPr>
          <w:rFonts w:ascii="Playfair Display" w:hAnsi="Playfair Display" w:cs="Times New Roman"/>
          <w:i/>
          <w:color w:val="002060"/>
          <w:szCs w:val="24"/>
        </w:rPr>
        <w:lastRenderedPageBreak/>
        <w:t>Az intézmények folyamatosan kísérjék figyelemmel és rendszeres időközönként tekintsék át képzési programjaikat, biztosítandó, hogy azok elérjék kitűzött céljaikat, illetve megfeleljenek a hallgatók és a társadalom igényeinek. Ezen értékelések eredményezzék a programok folyamatos javulását. Az ennek folytán tervezett vagy megtett intézkedéseket minden érdekelt felé közölni kell.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961"/>
        <w:gridCol w:w="5386"/>
        <w:gridCol w:w="1985"/>
      </w:tblGrid>
      <w:tr w:rsidR="00C123AE" w:rsidRPr="00C123AE" w14:paraId="132845AC" w14:textId="3F6B9682" w:rsidTr="00E75EB3">
        <w:trPr>
          <w:trHeight w:val="369"/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FB0D52B" w14:textId="492B42E6" w:rsidR="00C123AE" w:rsidRPr="005C4E0F" w:rsidRDefault="00C123AE" w:rsidP="00C123AE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Értékelési szempontok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DEEA171" w14:textId="1BB23AC3" w:rsidR="00C123AE" w:rsidRPr="005C4E0F" w:rsidRDefault="00C123AE" w:rsidP="00C123AE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Témakörhöz kapcsolódó kérdések</w:t>
            </w: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</w:tcPr>
          <w:p w14:paraId="46B46F8D" w14:textId="1F851013" w:rsidR="00C123AE" w:rsidRPr="005C4E0F" w:rsidRDefault="00C123AE" w:rsidP="00C123AE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Teljesülés rövid ismertetése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D79DD55" w14:textId="4EC67C72" w:rsidR="00C123AE" w:rsidRPr="005C4E0F" w:rsidRDefault="00C123AE" w:rsidP="00C123AE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Alátámasztó dokumentumok, linkek</w:t>
            </w:r>
          </w:p>
        </w:tc>
      </w:tr>
      <w:tr w:rsidR="00C123AE" w:rsidRPr="00C123AE" w14:paraId="7DF01ABA" w14:textId="672CD321" w:rsidTr="00E75EB3">
        <w:trPr>
          <w:trHeight w:val="369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66977490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DI képzési programja összhangban van tudományterületének hazai és nemzetközi kutatási irányaival, az anyaintézmény céljaival és stratégiájával, és megfelelően támogatja a DI küldetésében és jövőképében foglaltak megvalósítását.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B5FAEC6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Milyen eljárások biztosítják a szempontban felsoroltak összhangját? 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00C0C271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3DAC7D3E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40804C17" w14:textId="1D4D8EB7" w:rsidTr="00E75EB3">
        <w:trPr>
          <w:trHeight w:val="678"/>
        </w:trPr>
        <w:tc>
          <w:tcPr>
            <w:tcW w:w="2694" w:type="dxa"/>
            <w:vMerge/>
            <w:vAlign w:val="center"/>
            <w:hideMark/>
          </w:tcPr>
          <w:p w14:paraId="7F3E3BD1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189BC09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Több tudományágas (</w:t>
            </w:r>
            <w:proofErr w:type="spellStart"/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inter</w:t>
            </w:r>
            <w:proofErr w:type="spellEnd"/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-, multi, transzdiszciplináris) DI esetén hogyan biztosítják a koherenciát? 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6BFF6987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4368B821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0ED28D5B" w14:textId="236CA5ED" w:rsidTr="00E75EB3">
        <w:trPr>
          <w:trHeight w:val="678"/>
        </w:trPr>
        <w:tc>
          <w:tcPr>
            <w:tcW w:w="2694" w:type="dxa"/>
            <w:vMerge/>
            <w:vAlign w:val="center"/>
            <w:hideMark/>
          </w:tcPr>
          <w:p w14:paraId="14F3E580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BB81C7D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Ha az intézményben több DI is van azonos tudományágban, miben különbözik ezektől, mi indokolja önállóságát? 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1129E212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1A264A12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6A062DA4" w14:textId="49F44744" w:rsidTr="00E75EB3">
        <w:trPr>
          <w:trHeight w:val="678"/>
        </w:trPr>
        <w:tc>
          <w:tcPr>
            <w:tcW w:w="2694" w:type="dxa"/>
            <w:vMerge/>
            <w:vAlign w:val="center"/>
            <w:hideMark/>
          </w:tcPr>
          <w:p w14:paraId="3E85941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58FA48E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Miként kapcsolódik a DI az intézményi tudományos/kutatási programokhoz, az intézményi fejlesztési tervben meghatározott célokhoz? 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12A89FC6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3B5ED46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4A6C6F1A" w14:textId="4007E91C" w:rsidTr="00E75EB3">
        <w:trPr>
          <w:trHeight w:val="1356"/>
        </w:trPr>
        <w:tc>
          <w:tcPr>
            <w:tcW w:w="2694" w:type="dxa"/>
            <w:vMerge/>
            <w:vAlign w:val="center"/>
            <w:hideMark/>
          </w:tcPr>
          <w:p w14:paraId="0A11EE0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CE66421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Miként elemzik, vitatják meg, és építik be az új kutatási irányokat, módszertani és kutatástechnológiai eljárásokat a doktori programokba, és miként hat vissza a megújítás az intézményi alap- és mesterprogramok kutatási témáira és a hallgatói kutatási lehetőségekre?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5D9C260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0A86A1A7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2AC67C3F" w14:textId="69F44C45" w:rsidTr="00E75EB3">
        <w:trPr>
          <w:trHeight w:val="1356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3CEF22FE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lastRenderedPageBreak/>
              <w:t>A képzési programot a megfelelő (munkaerőpiaci, beiratkozási, pályakövetési, tudományterületi) elemzések alapján, a külső és belső érdekeltek (hallgatók, oktatók, kutatóintézetek, munkaadók stb.) bevonásával, átlátható eljárás keretében dolgozzák ki, fogadják el, vizsgálják rendszeresen felül és fejlesztik.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D1E4F5A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Kik és milyen eljárás szerint dolgozzák ki, értékelik és vizsgálják felül a DI képzési programját? Milyen szempontokat, elemzéseket stb. vesznek figyelembe hozzá? A doktori tanács milyen rendszerességgel értékeli a doktori képzést és a fokozatszerzést?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4ED70AC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5C1EF3A4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5858D63F" w14:textId="2A75CF18" w:rsidTr="00E75EB3">
        <w:trPr>
          <w:trHeight w:val="1695"/>
        </w:trPr>
        <w:tc>
          <w:tcPr>
            <w:tcW w:w="2694" w:type="dxa"/>
            <w:vMerge/>
            <w:vAlign w:val="center"/>
            <w:hideMark/>
          </w:tcPr>
          <w:p w14:paraId="1B993696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FCFC6B9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Miként használták föl a doktori program kialakításában a munkaerőpiaci és iparági elemzéseket és/vagy a külső partnerektől kapott visszajelzéseket, milyen megállapításai voltak az intézményi pályakövetési tevékenységnek és a javaslatok közül mi került be, mi maradt ki, milyen átalakulások következtek be? 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410783D2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04969082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4D02E8A7" w14:textId="1F3274F7" w:rsidTr="00E75EB3">
        <w:trPr>
          <w:trHeight w:val="678"/>
        </w:trPr>
        <w:tc>
          <w:tcPr>
            <w:tcW w:w="2694" w:type="dxa"/>
            <w:vMerge/>
            <w:vAlign w:val="center"/>
            <w:hideMark/>
          </w:tcPr>
          <w:p w14:paraId="63200940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F0FB856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Milyen visszajelzést kaptak a doktoranduszoktól, és mit változtattak/terveznek változtatni ennek alapján?</w:t>
            </w:r>
          </w:p>
        </w:tc>
        <w:tc>
          <w:tcPr>
            <w:tcW w:w="5386" w:type="dxa"/>
            <w:shd w:val="clear" w:color="auto" w:fill="auto"/>
            <w:noWrap/>
            <w:vAlign w:val="center"/>
            <w:hideMark/>
          </w:tcPr>
          <w:p w14:paraId="791F9E25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6DBDE1D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</w:tbl>
    <w:p w14:paraId="2961F810" w14:textId="77777777" w:rsidR="006116E7" w:rsidRDefault="006116E7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3C63EB33" w14:textId="77777777" w:rsidR="006116E7" w:rsidRPr="006116E7" w:rsidRDefault="006116E7" w:rsidP="00E75EB3">
      <w:pPr>
        <w:pStyle w:val="Cmsor3"/>
        <w:rPr>
          <w:rFonts w:eastAsiaTheme="minorHAnsi"/>
        </w:rPr>
      </w:pPr>
      <w:bookmarkStart w:id="14" w:name="_Toc42101230"/>
      <w:bookmarkStart w:id="15" w:name="_Toc188951781"/>
      <w:r w:rsidRPr="006116E7">
        <w:rPr>
          <w:rFonts w:eastAsiaTheme="minorHAnsi"/>
        </w:rPr>
        <w:t>ESG 1.3 Hallgatóközpontú tanulás, tanítás és értékelés</w:t>
      </w:r>
      <w:bookmarkEnd w:id="14"/>
      <w:bookmarkEnd w:id="15"/>
    </w:p>
    <w:p w14:paraId="54389170" w14:textId="67C9CF26" w:rsidR="00C123AE" w:rsidRPr="00503705" w:rsidRDefault="3BFC2177" w:rsidP="005C4E0F">
      <w:pPr>
        <w:spacing w:after="240" w:line="240" w:lineRule="auto"/>
        <w:jc w:val="both"/>
        <w:rPr>
          <w:rFonts w:ascii="Playfair Display" w:hAnsi="Playfair Display" w:cs="Times New Roman"/>
          <w:i/>
          <w:iCs/>
        </w:rPr>
      </w:pPr>
      <w:r w:rsidRPr="13845DC5">
        <w:rPr>
          <w:rFonts w:ascii="Playfair Display" w:hAnsi="Playfair Display" w:cs="Times New Roman"/>
          <w:b/>
          <w:bCs/>
          <w:color w:val="002060"/>
        </w:rPr>
        <w:t>Standard</w:t>
      </w:r>
      <w:r w:rsidR="006116E7" w:rsidRPr="13845DC5">
        <w:rPr>
          <w:rFonts w:ascii="Playfair Display" w:hAnsi="Playfair Display" w:cs="Times New Roman"/>
          <w:b/>
          <w:bCs/>
          <w:color w:val="002060"/>
        </w:rPr>
        <w:t>:</w:t>
      </w:r>
      <w:r w:rsidR="006116E7" w:rsidRPr="13845DC5">
        <w:rPr>
          <w:rFonts w:ascii="Playfair Display" w:hAnsi="Playfair Display" w:cs="Times New Roman"/>
          <w:i/>
          <w:iCs/>
          <w:color w:val="002060"/>
        </w:rPr>
        <w:t xml:space="preserve"> Az intézmények biztosítsák képzési programjaik olyan megvalósítását, amely aktív szerepre ösztönzi a hallgatókat a tanulási folyamat létrehozásában. A hallgatók értékelése tükrözze ezt a megközelítést.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394"/>
        <w:gridCol w:w="5953"/>
        <w:gridCol w:w="1985"/>
      </w:tblGrid>
      <w:tr w:rsidR="00C123AE" w:rsidRPr="00C123AE" w14:paraId="6AACED07" w14:textId="77777777" w:rsidTr="00E75EB3">
        <w:trPr>
          <w:trHeight w:val="371"/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34FE743" w14:textId="58358BDE" w:rsidR="00C123AE" w:rsidRPr="005C4E0F" w:rsidRDefault="00C123AE" w:rsidP="00C123AE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lastRenderedPageBreak/>
              <w:t>Értékelési szempontok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3B67E2F6" w14:textId="1943B59E" w:rsidR="00C123AE" w:rsidRPr="005C4E0F" w:rsidRDefault="00C123AE" w:rsidP="00C123AE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Témakörhöz kapcsolódó kérdések</w:t>
            </w:r>
          </w:p>
        </w:tc>
        <w:tc>
          <w:tcPr>
            <w:tcW w:w="5953" w:type="dxa"/>
            <w:shd w:val="clear" w:color="auto" w:fill="D9D9D9" w:themeFill="background1" w:themeFillShade="D9"/>
            <w:noWrap/>
            <w:vAlign w:val="center"/>
          </w:tcPr>
          <w:p w14:paraId="1B7AC73E" w14:textId="559B2C70" w:rsidR="00C123AE" w:rsidRPr="005C4E0F" w:rsidRDefault="00C123AE" w:rsidP="00C123AE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Teljesülés rövid ismertetése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03A6120" w14:textId="3D04ADD0" w:rsidR="00C123AE" w:rsidRPr="005C4E0F" w:rsidRDefault="00C123AE" w:rsidP="00C123AE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Alátámasztó dokumentumok, linkek</w:t>
            </w:r>
          </w:p>
        </w:tc>
      </w:tr>
      <w:tr w:rsidR="00C123AE" w:rsidRPr="00C123AE" w14:paraId="3143AEE6" w14:textId="0F000B25" w:rsidTr="00E75EB3">
        <w:trPr>
          <w:trHeight w:val="371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1CE5005B" w14:textId="77777777" w:rsid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képzés tartalma és felépítése, az alkalmazott oktatási és tanulástámogatási módszerek korszerűek, megfelelnek a szakmai elvárásoknak, és alkalmasak a kitűzött tanulási eredmények elérésére.</w:t>
            </w:r>
          </w:p>
          <w:p w14:paraId="56989698" w14:textId="77777777" w:rsidR="000D5C35" w:rsidRPr="00C123AE" w:rsidRDefault="000D5C35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6D616AB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veszik figyelembe a doktoranduszok szükségleteinek sokféleségét?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4E30629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0FB854EC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3DAF2F90" w14:textId="2D9EAA57" w:rsidTr="00E75EB3">
        <w:trPr>
          <w:trHeight w:val="841"/>
        </w:trPr>
        <w:tc>
          <w:tcPr>
            <w:tcW w:w="2694" w:type="dxa"/>
            <w:vMerge/>
            <w:vAlign w:val="center"/>
            <w:hideMark/>
          </w:tcPr>
          <w:p w14:paraId="0C997830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6A4799D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Miként támogatják a rugalmas, egyéni tanulási útvonalak kialakítását?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1EDA745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3AF9A5D2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2AA4030A" w14:textId="165B3771" w:rsidTr="00E75EB3">
        <w:trPr>
          <w:trHeight w:val="501"/>
        </w:trPr>
        <w:tc>
          <w:tcPr>
            <w:tcW w:w="2694" w:type="dxa"/>
            <w:vMerge/>
            <w:vAlign w:val="center"/>
            <w:hideMark/>
          </w:tcPr>
          <w:p w14:paraId="04C072FE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6083F48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használják ki a digitális technológia nyújtotta lehetőségeket?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6570922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446AAED6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0D860403" w14:textId="4BC217D7" w:rsidTr="00E75EB3">
        <w:trPr>
          <w:trHeight w:val="968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2170E756" w14:textId="77777777" w:rsid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témavezetők és doktoranduszok közötti kapcsolattartás intenzitása megfelelő. A képzési folyamat alkalmas arra, hogy annak során a doktoranduszok elsajátítsák a tudományos, művészeti módszerek alkalmazását, értékelhető tudományos, művészeti eredményhez jussanak, és erről bizonyosságot tegyenek.</w:t>
            </w:r>
          </w:p>
          <w:p w14:paraId="71156FCB" w14:textId="77777777" w:rsidR="000D5C35" w:rsidRPr="00C123AE" w:rsidRDefault="000D5C35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E6EC4CB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biztosítják a témavezetői tevékenység hatékonyságát?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5A8077E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7019739C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00C0ED02" w14:textId="1B752614" w:rsidTr="00E75EB3">
        <w:trPr>
          <w:trHeight w:val="976"/>
        </w:trPr>
        <w:tc>
          <w:tcPr>
            <w:tcW w:w="2694" w:type="dxa"/>
            <w:vMerge/>
            <w:vAlign w:val="center"/>
            <w:hideMark/>
          </w:tcPr>
          <w:p w14:paraId="6954A80D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FBFE711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Kérnek-e visszajelzést a hallgatóktól a témavezetésre vonatkozóan?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30106A0B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7842913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6A731601" w14:textId="2CCA2E3F" w:rsidTr="00E75EB3">
        <w:trPr>
          <w:trHeight w:val="642"/>
        </w:trPr>
        <w:tc>
          <w:tcPr>
            <w:tcW w:w="2694" w:type="dxa"/>
            <w:vMerge/>
            <w:vAlign w:val="center"/>
            <w:hideMark/>
          </w:tcPr>
          <w:p w14:paraId="0451245F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7ECFE4B" w14:textId="7CCF31CF" w:rsidR="00C123AE" w:rsidRPr="00C123AE" w:rsidRDefault="31C32D13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3061EFC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kezelik, ha a doktorandusz elégedetlen a témavezető támogatásával, </w:t>
            </w:r>
            <w:r w:rsidR="330C425F" w:rsidRPr="3061EFC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illetve,</w:t>
            </w:r>
            <w:r w:rsidRPr="3061EFC9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ha a témavezető elégedetlen a doktorandusz haladásával?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19E467E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635CE826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605AED79" w14:textId="7E42DBA8" w:rsidTr="00E75EB3">
        <w:trPr>
          <w:trHeight w:val="682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5C2025B0" w14:textId="5C40810E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A DI értékelésre vonatkozó szabályai és eljárásai alkalmasak a hallgatók </w:t>
            </w: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lastRenderedPageBreak/>
              <w:t>előrehaladásának nyomon</w:t>
            </w:r>
            <w:r w:rsidR="00E75EB3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</w:t>
            </w: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követésére, az értékelés </w:t>
            </w:r>
            <w:proofErr w:type="spellStart"/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pártatlansága</w:t>
            </w:r>
            <w:proofErr w:type="spellEnd"/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biztosított.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852BE68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lastRenderedPageBreak/>
              <w:t>Hogyan biztosítják az értékelési kritériumrendszer előzetes nyilvánosságát és következetes alkalmazását?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795F8414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65F1C4C6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3E935E5A" w14:textId="0716CCCE" w:rsidTr="00E75EB3">
        <w:trPr>
          <w:trHeight w:val="682"/>
        </w:trPr>
        <w:tc>
          <w:tcPr>
            <w:tcW w:w="2694" w:type="dxa"/>
            <w:vMerge/>
            <w:vAlign w:val="center"/>
            <w:hideMark/>
          </w:tcPr>
          <w:p w14:paraId="1B551EB0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2B8716B6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történik a bíráló bizottságok tagjainak kiválasztása; a jogszabályi előírásokon kívül vannak-e további belső szabályok?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787F169C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10BBAB65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1F6AFFFE" w14:textId="0AAAE9C8" w:rsidTr="00E75EB3">
        <w:trPr>
          <w:trHeight w:val="371"/>
        </w:trPr>
        <w:tc>
          <w:tcPr>
            <w:tcW w:w="2694" w:type="dxa"/>
            <w:vMerge/>
            <w:vAlign w:val="center"/>
            <w:hideMark/>
          </w:tcPr>
          <w:p w14:paraId="369769F4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9C88583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Idegen nyelvű értekezések esetén elvárás a nyelvi lektorálás?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4CB6E48E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59D757F3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121C26CB" w14:textId="3555EB41" w:rsidTr="00E75EB3">
        <w:trPr>
          <w:trHeight w:val="682"/>
        </w:trPr>
        <w:tc>
          <w:tcPr>
            <w:tcW w:w="2694" w:type="dxa"/>
            <w:vMerge/>
            <w:vAlign w:val="center"/>
            <w:hideMark/>
          </w:tcPr>
          <w:p w14:paraId="66EB760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21C0B09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biztosított az egyéni felkészülőkre vonatkozó szabályok és eljárások illeszkedése az általános szabályokhoz?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38E05B52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3C2EFE9F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67137ED6" w14:textId="71EAE3B7" w:rsidTr="00E75EB3">
        <w:trPr>
          <w:trHeight w:val="371"/>
        </w:trPr>
        <w:tc>
          <w:tcPr>
            <w:tcW w:w="2694" w:type="dxa"/>
            <w:vMerge/>
            <w:vAlign w:val="center"/>
            <w:hideMark/>
          </w:tcPr>
          <w:p w14:paraId="5D08F09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B02CF8F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Milyen formális fellebbezési lehetőségek léteznek a doktoranduszok számára?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75E180B4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5B2EC80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2F6DEFE6" w14:textId="2CBCD21E" w:rsidTr="00E75EB3">
        <w:trPr>
          <w:trHeight w:val="1023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71F5C4E9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DI elősegíti a doktoranduszok oktatói/kutatói orientációját, foglalkoztathatóságát és aktív állampolgári szerepvállalását.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C90116E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Miként készítik fel a doktoranduszokat a pályázati programokra, az oktatási tevékenységre, a kutatási projektek menedzselésére, a kutatások szellemi tulajdonjogi kérdéseinek kezelésére?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3DF9B3A7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62D5A25C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58D1D728" w14:textId="38C29EFB" w:rsidTr="00E75EB3">
        <w:trPr>
          <w:trHeight w:val="682"/>
        </w:trPr>
        <w:tc>
          <w:tcPr>
            <w:tcW w:w="2694" w:type="dxa"/>
            <w:vMerge/>
            <w:vAlign w:val="center"/>
            <w:hideMark/>
          </w:tcPr>
          <w:p w14:paraId="2799296A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9D69FB3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ösztönzik az autonóm látásmód fejlődését, az együttműködést ipari és/vagy kutatóintézeti partnerekkel? 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79B967D9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1D59CAD1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C123AE" w:rsidRPr="00C123AE" w14:paraId="63A1E6BD" w14:textId="18C68048" w:rsidTr="00E75EB3">
        <w:trPr>
          <w:trHeight w:val="1023"/>
        </w:trPr>
        <w:tc>
          <w:tcPr>
            <w:tcW w:w="2694" w:type="dxa"/>
            <w:vMerge/>
            <w:vAlign w:val="center"/>
            <w:hideMark/>
          </w:tcPr>
          <w:p w14:paraId="053805F5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149351C" w14:textId="77777777" w:rsidR="00C123AE" w:rsidRPr="00C123AE" w:rsidRDefault="00C123AE" w:rsidP="00E75EB3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Milyen ismeretterjesztő, szemléletformáló, helyi gazdaságfejlesztést segítő, társadalmi kihívások kezelését célzó, illetve egyéb harmadik missziós programokba vonják be a doktoranduszokat?</w:t>
            </w:r>
          </w:p>
        </w:tc>
        <w:tc>
          <w:tcPr>
            <w:tcW w:w="5953" w:type="dxa"/>
            <w:shd w:val="clear" w:color="auto" w:fill="auto"/>
            <w:noWrap/>
            <w:vAlign w:val="center"/>
            <w:hideMark/>
          </w:tcPr>
          <w:p w14:paraId="00875A5A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C123AE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12340128" w14:textId="77777777" w:rsidR="00C123AE" w:rsidRPr="00C123AE" w:rsidRDefault="00C123AE" w:rsidP="00C123AE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</w:tbl>
    <w:p w14:paraId="090581C5" w14:textId="77777777" w:rsidR="006116E7" w:rsidRDefault="006116E7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33A84005" w14:textId="77777777" w:rsidR="006116E7" w:rsidRPr="006116E7" w:rsidRDefault="006116E7" w:rsidP="00E75EB3">
      <w:pPr>
        <w:pStyle w:val="Cmsor3"/>
        <w:rPr>
          <w:rFonts w:eastAsiaTheme="minorHAnsi"/>
        </w:rPr>
      </w:pPr>
      <w:bookmarkStart w:id="16" w:name="_Toc42101231"/>
      <w:bookmarkStart w:id="17" w:name="_Toc188951782"/>
      <w:r w:rsidRPr="006116E7">
        <w:rPr>
          <w:rFonts w:eastAsiaTheme="minorHAnsi"/>
        </w:rPr>
        <w:lastRenderedPageBreak/>
        <w:t>ESG 1.4 A hallgatók felvétele, előrehaladása, tanulmányaik elismerése és a képesítés odaítélése</w:t>
      </w:r>
      <w:bookmarkEnd w:id="16"/>
      <w:bookmarkEnd w:id="17"/>
    </w:p>
    <w:p w14:paraId="774CC00D" w14:textId="3C56A6D0" w:rsidR="006116E7" w:rsidRPr="00503705" w:rsidRDefault="78256A1D" w:rsidP="005C4E0F">
      <w:pP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</w:rPr>
      </w:pPr>
      <w:r w:rsidRPr="13845DC5">
        <w:rPr>
          <w:rFonts w:ascii="Playfair Display" w:hAnsi="Playfair Display" w:cs="Times New Roman"/>
          <w:b/>
          <w:bCs/>
          <w:color w:val="002060"/>
        </w:rPr>
        <w:t>Standard</w:t>
      </w:r>
      <w:r w:rsidR="006116E7" w:rsidRPr="13845DC5">
        <w:rPr>
          <w:rFonts w:ascii="Playfair Display" w:hAnsi="Playfair Display" w:cs="Times New Roman"/>
          <w:b/>
          <w:bCs/>
          <w:color w:val="002060"/>
        </w:rPr>
        <w:t>:</w:t>
      </w:r>
      <w:r w:rsidR="006116E7" w:rsidRPr="13845DC5">
        <w:rPr>
          <w:rFonts w:ascii="Playfair Display" w:hAnsi="Playfair Display" w:cs="Times New Roman"/>
          <w:color w:val="002060"/>
        </w:rPr>
        <w:t xml:space="preserve"> </w:t>
      </w:r>
      <w:r w:rsidR="006116E7" w:rsidRPr="13845DC5">
        <w:rPr>
          <w:rFonts w:ascii="Playfair Display" w:hAnsi="Playfair Display" w:cs="Times New Roman"/>
          <w:i/>
          <w:iCs/>
          <w:color w:val="002060"/>
        </w:rPr>
        <w:t>Az intézmények következetesen alkalmazzák a teljes hallgatói életciklust lefedő, előzetesen meghatározott és közzétett szabályzataikat, például a hallgatók felvétele, előrehaladása, tanulmányaik elismerése és a képesítés odaítélése tekintetében.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252"/>
        <w:gridCol w:w="6095"/>
        <w:gridCol w:w="1985"/>
      </w:tblGrid>
      <w:tr w:rsidR="000206E5" w:rsidRPr="000206E5" w14:paraId="2D33312F" w14:textId="77777777" w:rsidTr="00A15EC8">
        <w:trPr>
          <w:trHeight w:val="361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AA302" w14:textId="7160FD46" w:rsidR="000206E5" w:rsidRPr="005C4E0F" w:rsidRDefault="000206E5" w:rsidP="000206E5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Értékelési szempontok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C260C" w14:textId="30E167D5" w:rsidR="000206E5" w:rsidRPr="005C4E0F" w:rsidRDefault="000206E5" w:rsidP="000206E5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Témakörhöz kapcsolódó kérdések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AC552E" w14:textId="52592487" w:rsidR="000206E5" w:rsidRPr="005C4E0F" w:rsidRDefault="000206E5" w:rsidP="000206E5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Teljesülés rövid ismertetése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C8FBD" w14:textId="40DB3A31" w:rsidR="000206E5" w:rsidRPr="005C4E0F" w:rsidRDefault="000206E5" w:rsidP="000206E5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Alátámasztó dokumentumok, linkek</w:t>
            </w:r>
          </w:p>
        </w:tc>
      </w:tr>
      <w:tr w:rsidR="000206E5" w:rsidRPr="000206E5" w14:paraId="513E9BC1" w14:textId="2A9DAED8" w:rsidTr="00A15EC8">
        <w:trPr>
          <w:trHeight w:val="36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44F8" w14:textId="77777777" w:rsidR="000206E5" w:rsidRPr="000206E5" w:rsidRDefault="000206E5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felvételi eljárás és a felvételi követelmények egyértelműen rögzítettek.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528" w14:textId="55C82824" w:rsidR="000206E5" w:rsidRPr="000206E5" w:rsidRDefault="000206E5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Mikor és honnan ismerhetők meg a felvételi követelmények?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2B23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94DA3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0206E5" w:rsidRPr="000206E5" w14:paraId="1E0A2DBC" w14:textId="5D3456C1" w:rsidTr="00A15EC8">
        <w:trPr>
          <w:trHeight w:val="99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243C" w14:textId="77777777" w:rsidR="000206E5" w:rsidRPr="000206E5" w:rsidRDefault="000206E5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0BEE" w14:textId="77777777" w:rsidR="000206E5" w:rsidRPr="000206E5" w:rsidRDefault="000206E5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Ha a DI részt vesz a Stipendium Hungaricum (SH) programban, hogyan tudja biztosítani, hogy az SH-jelentkezők ugyanolyan elbírálásban részesüljenek a felvételi során, mint hazai társaik?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8626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123B9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0206E5" w:rsidRPr="000206E5" w14:paraId="2518FDBD" w14:textId="2CF4427B" w:rsidTr="00A15EC8">
        <w:trPr>
          <w:trHeight w:val="663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352E" w14:textId="77777777" w:rsidR="000206E5" w:rsidRPr="000206E5" w:rsidRDefault="000206E5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DI eljárásai biztosítják, hogy a hallgatók előrehaladásáról kellő információ álljon rendelkezésre mind a doktorandusz, mind a témavezető részére.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DBCF" w14:textId="77777777" w:rsidR="000206E5" w:rsidRPr="000206E5" w:rsidRDefault="000206E5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Tanulmányi kreditek esetében egyértelműen rögzített, hogy mi szükséges a teljesítésükhöz?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7396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72D18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0206E5" w:rsidRPr="000206E5" w14:paraId="56C68357" w14:textId="7579C556" w:rsidTr="00A15EC8">
        <w:trPr>
          <w:trHeight w:val="66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F0A2" w14:textId="77777777" w:rsidR="000206E5" w:rsidRPr="000206E5" w:rsidRDefault="000206E5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60CC" w14:textId="45973B3B" w:rsidR="000206E5" w:rsidRPr="000206E5" w:rsidRDefault="000206E5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komplex vizsga, a műhelyvita (ahol előírás) és a fokozatszerzés követelményei egyértelműen rögzítettek?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6C2C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4695B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0206E5" w:rsidRPr="000206E5" w14:paraId="261B1ABE" w14:textId="679A9E4D" w:rsidTr="00A15EC8">
        <w:trPr>
          <w:trHeight w:val="66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72A8" w14:textId="77777777" w:rsidR="000206E5" w:rsidRPr="000206E5" w:rsidRDefault="000206E5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4689" w14:textId="77777777" w:rsidR="000206E5" w:rsidRPr="000206E5" w:rsidRDefault="000206E5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Hogyan biztosítják, hogy a hallgató olyan visszajelzést kapjon, mely segíti őt tanulmányai/kutatása sikeres elvégzésében?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D5C1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7CC6F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0206E5" w:rsidRPr="000206E5" w14:paraId="2947E67F" w14:textId="732A9DB5" w:rsidTr="00A15EC8">
        <w:trPr>
          <w:trHeight w:val="663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A564" w14:textId="77777777" w:rsidR="000206E5" w:rsidRPr="000206E5" w:rsidRDefault="000206E5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doktoranduszok oktatási tevékenyégekben való közreműködése egyértelműen szabályozott.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DA46" w14:textId="77777777" w:rsidR="000206E5" w:rsidRPr="000206E5" w:rsidRDefault="000206E5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A DI dokumentumai világosan rögzítik, hogy a doktoranduszok milyen módon és mikor vesznek részt az oktatási tevékenységben?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8D77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10B5C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0206E5" w:rsidRPr="000206E5" w14:paraId="727658A4" w14:textId="6E4DA3C2" w:rsidTr="00A15EC8">
        <w:trPr>
          <w:trHeight w:val="36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6EED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5D4D" w14:textId="77777777" w:rsidR="000206E5" w:rsidRPr="000206E5" w:rsidRDefault="000206E5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Ki és hogyan tartja nyilván ezt a tevékenységet?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3FB2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0336D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0206E5" w:rsidRPr="000206E5" w14:paraId="5AFC77E1" w14:textId="3E11B071" w:rsidTr="00A15EC8">
        <w:trPr>
          <w:trHeight w:val="663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88A2" w14:textId="77777777" w:rsidR="000206E5" w:rsidRPr="000206E5" w:rsidRDefault="000206E5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lastRenderedPageBreak/>
              <w:t>A doktoranduszok külföldön végzett kutatási tevékenységét, külföldi részképzésben vagy egyéb mobilitásban való részvételét a DI kredittel értékeli.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ED5" w14:textId="1675F07A" w:rsidR="000206E5" w:rsidRPr="000206E5" w:rsidRDefault="000206E5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Miként biztosított a DI-n kívüli tudományos/művészeti tanulás/kutatás elismerése?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755F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AC2B5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0206E5" w:rsidRPr="000206E5" w14:paraId="31CFBE33" w14:textId="7CFC638E" w:rsidTr="00A15EC8">
        <w:trPr>
          <w:trHeight w:val="36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FDFB0" w14:textId="77777777" w:rsidR="000206E5" w:rsidRPr="000206E5" w:rsidRDefault="000206E5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1A77" w14:textId="77777777" w:rsidR="000206E5" w:rsidRPr="000206E5" w:rsidRDefault="000206E5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Hogyan működik a kreditelismerés rendszere, hol került rögzítésre a folyamat?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EB33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0206E5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43B90" w14:textId="77777777" w:rsidR="000206E5" w:rsidRPr="000206E5" w:rsidRDefault="000206E5" w:rsidP="000206E5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</w:tbl>
    <w:p w14:paraId="019B08AB" w14:textId="77777777" w:rsidR="006116E7" w:rsidRDefault="006116E7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2B3D2920" w14:textId="77777777" w:rsidR="00611308" w:rsidRPr="00611308" w:rsidRDefault="00611308" w:rsidP="00E75EB3">
      <w:pPr>
        <w:pStyle w:val="Cmsor3"/>
      </w:pPr>
      <w:bookmarkStart w:id="18" w:name="_Toc188951783"/>
      <w:r w:rsidRPr="00611308">
        <w:t>ESG 1.5 Oktatók</w:t>
      </w:r>
      <w:bookmarkEnd w:id="18"/>
    </w:p>
    <w:p w14:paraId="7F255D74" w14:textId="76EC547B" w:rsidR="006116E7" w:rsidRPr="00503705" w:rsidRDefault="554A9820" w:rsidP="00622749">
      <w:pP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</w:rPr>
      </w:pPr>
      <w:r w:rsidRPr="13845DC5">
        <w:rPr>
          <w:rFonts w:ascii="Playfair Display" w:hAnsi="Playfair Display" w:cs="Times New Roman"/>
          <w:b/>
          <w:bCs/>
          <w:color w:val="002060"/>
        </w:rPr>
        <w:t>Standard</w:t>
      </w:r>
      <w:r w:rsidR="00611308" w:rsidRPr="13845DC5">
        <w:rPr>
          <w:rFonts w:ascii="Playfair Display" w:hAnsi="Playfair Display" w:cs="Times New Roman"/>
          <w:i/>
          <w:iCs/>
          <w:color w:val="002060"/>
        </w:rPr>
        <w:t>: Az intézmények biztosítsák, hogy oktatóik megfelelő kompetenciával rendelkezzenek. Alkalmazzanak méltányos és átlátható eljárásokat oktatóik toborzására és továbbképzésére.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9"/>
        <w:gridCol w:w="4469"/>
        <w:gridCol w:w="5953"/>
        <w:gridCol w:w="1985"/>
      </w:tblGrid>
      <w:tr w:rsidR="00301190" w:rsidRPr="00301190" w14:paraId="58317CBD" w14:textId="77777777" w:rsidTr="00A15EC8">
        <w:trPr>
          <w:trHeight w:val="864"/>
          <w:tblHeader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B303A" w14:textId="1313592D" w:rsidR="00301190" w:rsidRPr="005C4E0F" w:rsidRDefault="00301190" w:rsidP="00301190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Értékelési szempontok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5D9CB" w14:textId="6850C53F" w:rsidR="00301190" w:rsidRPr="005C4E0F" w:rsidRDefault="00301190" w:rsidP="00301190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Témakörhöz kapcsolódó kérdések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1077A" w14:textId="7DAC0109" w:rsidR="00301190" w:rsidRPr="005C4E0F" w:rsidRDefault="00301190" w:rsidP="00301190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Teljesülés rövid ismertetése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8CA9C" w14:textId="4AB0BFD6" w:rsidR="00301190" w:rsidRPr="005C4E0F" w:rsidRDefault="00301190" w:rsidP="00301190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Alátámasztó dokumentumok, linkek</w:t>
            </w:r>
          </w:p>
        </w:tc>
      </w:tr>
      <w:tr w:rsidR="00301190" w:rsidRPr="00301190" w14:paraId="588502C0" w14:textId="236CF0C9" w:rsidTr="00A15EC8">
        <w:trPr>
          <w:trHeight w:val="1020"/>
        </w:trPr>
        <w:tc>
          <w:tcPr>
            <w:tcW w:w="2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607D" w14:textId="77777777" w:rsidR="00301190" w:rsidRPr="00301190" w:rsidRDefault="00301190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A DI rendelkezik a megfelelő (minimálisan a jogszabályban előírt) számú törzstaggal. A törzstagok a DI képzési/kutatási/művészeti területéhez kapcsolódó, aktív, folyamatos, </w:t>
            </w: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lastRenderedPageBreak/>
              <w:t>dokumentáltan eredményes tevékenységet folytatnak.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66DD" w14:textId="718500A0" w:rsidR="00301190" w:rsidRPr="00301190" w:rsidRDefault="00301190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lastRenderedPageBreak/>
              <w:t>Ki(k) és milyen eljárás keretében vizsgálják felül és felügyelik a DI törzstagjainak szakmai teljesítményét, törzstagi kritériumoknak való megfelelőséget?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2654C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E18C0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301190" w:rsidRPr="00301190" w14:paraId="7585411A" w14:textId="25E84D67" w:rsidTr="00A15EC8">
        <w:trPr>
          <w:trHeight w:val="680"/>
        </w:trPr>
        <w:tc>
          <w:tcPr>
            <w:tcW w:w="2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711F" w14:textId="77777777" w:rsidR="00301190" w:rsidRPr="00301190" w:rsidRDefault="00301190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EEB" w14:textId="77777777" w:rsidR="00301190" w:rsidRPr="00301190" w:rsidRDefault="00301190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Miként biztosítja a DI, hogy a törzstagok száma ne csökkenjen a jogszabályban előírtak, illetve saját elvárásai alá?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F1CDB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E1F1D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301190" w:rsidRPr="00301190" w14:paraId="3038B6BA" w14:textId="592C8C4D" w:rsidTr="00A15EC8">
        <w:trPr>
          <w:trHeight w:val="102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A39" w14:textId="77777777" w:rsidR="00301190" w:rsidRPr="00301190" w:rsidRDefault="00301190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 oktatók, témavezetők és témakiírók száma megfelelő. A velük szembeni szakmai követelmények egyértelműen rögzítettek. Szakmai tevékenységük relevanciája és színvonala, valamint munkaterhelésük biztosítja a doktoranduszok tudományos/művészeti tevékenységének megfelelő támogatását.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D637" w14:textId="77777777" w:rsidR="00301190" w:rsidRPr="00301190" w:rsidRDefault="00301190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Melyek az oktatók, témakiírók és témavezetők kiválasztásának, teljesítményük - különös tekintettel a témavezetésre - értékelésének szempontjai? Dokumentált módon elérhetők-e az érintettek számára?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CB62F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F4DFA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301190" w:rsidRPr="00301190" w14:paraId="69B5748D" w14:textId="6F2F27CA" w:rsidTr="00A15EC8">
        <w:trPr>
          <w:trHeight w:val="370"/>
        </w:trPr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C0A2" w14:textId="77777777" w:rsidR="00301190" w:rsidRPr="00301190" w:rsidRDefault="00301190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D023" w14:textId="77777777" w:rsidR="00301190" w:rsidRPr="00301190" w:rsidRDefault="00301190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gondoskodnak ezen szempontok folyamatos alkalmazásáról?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27DB2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66485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301190" w:rsidRPr="00301190" w14:paraId="769109BA" w14:textId="191B3123" w:rsidTr="00A15EC8">
        <w:trPr>
          <w:trHeight w:val="1020"/>
        </w:trPr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3B02" w14:textId="77777777" w:rsidR="00301190" w:rsidRPr="00301190" w:rsidRDefault="00301190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AA40" w14:textId="77777777" w:rsidR="00301190" w:rsidRPr="00301190" w:rsidRDefault="00301190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Ki(k) és milyen eljárás keretében vizsgálják felül és felügyelik a DI oktatóinak, témavezetőinek szakmai teljesítményét, az előírt kritériumoknak való megfelelőséget?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CACEA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8D811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301190" w:rsidRPr="00301190" w14:paraId="2A5B02DE" w14:textId="76C5E189" w:rsidTr="00A15EC8">
        <w:trPr>
          <w:trHeight w:val="370"/>
        </w:trPr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F126B" w14:textId="77777777" w:rsidR="00301190" w:rsidRPr="00301190" w:rsidRDefault="00301190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516F" w14:textId="77777777" w:rsidR="00301190" w:rsidRPr="00301190" w:rsidRDefault="00301190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biztosítják, hogy oktatóik ne legyenek túlterheltek?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5C712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A2B0D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301190" w:rsidRPr="00301190" w14:paraId="40FA0EF9" w14:textId="240242F4" w:rsidTr="00A15EC8">
        <w:trPr>
          <w:trHeight w:val="1360"/>
        </w:trPr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B593" w14:textId="77777777" w:rsidR="00301190" w:rsidRPr="00301190" w:rsidRDefault="00301190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8159" w14:textId="77777777" w:rsidR="00301190" w:rsidRPr="00301190" w:rsidRDefault="00301190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Biztosítja az anyaintézménnyel való együttműködés, hogy a DI-be aktív tevékenységet vállaló oktatók az intézményben végzett egyéb tevékenységük mellett elegendő időt és energiát tudjanak fordítani a doktori képzésre és saját kutatási tevékenységükre?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69627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F4B15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301190" w:rsidRPr="00301190" w14:paraId="17DAAB9A" w14:textId="7C802032" w:rsidTr="00A15EC8">
        <w:trPr>
          <w:trHeight w:val="1360"/>
        </w:trPr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2B04" w14:textId="77777777" w:rsidR="00301190" w:rsidRPr="00301190" w:rsidRDefault="00301190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lastRenderedPageBreak/>
              <w:t>A felsőoktatási intézmények elsődleges felelősséget viselnek oktatóik minőségéért és a hatékony oktatói munkát támogató körülmények biztosításáért. Ez a környezet lehetőséget ad az oktatók szakmai fejlődésére és támogatja azt.</w:t>
            </w: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1A02" w14:textId="77777777" w:rsidR="00301190" w:rsidRPr="00301190" w:rsidRDefault="00301190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Milyen módon segítik az oktatók szakmai fejlődését? Milyen infrastrukturális eszközökkel és milyen szolgáltatásokkal segítik az oktatók tudományos tevékenységét (konferencia-látogatás, publikáció, pályázatírás támogatása; saját iroda/informatikai eszközök biztosítása)?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8AC75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00783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301190" w:rsidRPr="00301190" w14:paraId="54247BD3" w14:textId="310D156A" w:rsidTr="00A15EC8">
        <w:trPr>
          <w:trHeight w:val="400"/>
        </w:trPr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E393" w14:textId="77777777" w:rsidR="00301190" w:rsidRPr="00301190" w:rsidRDefault="00301190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53D3" w14:textId="77777777" w:rsidR="00301190" w:rsidRPr="00301190" w:rsidRDefault="00301190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301190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Miként fejlesztik az oktatók oktatásmódszertani felkészültségét?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56EAE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B61C4" w14:textId="77777777" w:rsidR="00301190" w:rsidRPr="00301190" w:rsidRDefault="00301190" w:rsidP="00301190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</w:tbl>
    <w:p w14:paraId="5DFD7202" w14:textId="77777777" w:rsidR="00611308" w:rsidRDefault="00611308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386F1C73" w14:textId="77777777" w:rsidR="004C4F2D" w:rsidRPr="004C4F2D" w:rsidRDefault="004C4F2D" w:rsidP="00E75EB3">
      <w:pPr>
        <w:pStyle w:val="Cmsor3"/>
      </w:pPr>
      <w:bookmarkStart w:id="19" w:name="_Toc188951784"/>
      <w:r w:rsidRPr="004C4F2D">
        <w:t>ESG 1.6 Tanulástámogatás és hallgatói szolgáltatások</w:t>
      </w:r>
      <w:bookmarkEnd w:id="19"/>
    </w:p>
    <w:p w14:paraId="5A56D51B" w14:textId="281A1526" w:rsidR="00611308" w:rsidRPr="00503705" w:rsidRDefault="47832894" w:rsidP="00622749">
      <w:pPr>
        <w:spacing w:after="240" w:line="240" w:lineRule="auto"/>
        <w:jc w:val="both"/>
        <w:rPr>
          <w:rFonts w:ascii="Playfair Display" w:hAnsi="Playfair Display" w:cs="Times New Roman"/>
          <w:i/>
          <w:iCs/>
          <w:color w:val="002060"/>
        </w:rPr>
      </w:pPr>
      <w:r w:rsidRPr="13845DC5">
        <w:rPr>
          <w:rFonts w:ascii="Playfair Display" w:hAnsi="Playfair Display" w:cs="Times New Roman"/>
          <w:b/>
          <w:bCs/>
          <w:color w:val="002060"/>
        </w:rPr>
        <w:t>Standard</w:t>
      </w:r>
      <w:r w:rsidR="004C4F2D" w:rsidRPr="13845DC5">
        <w:rPr>
          <w:rFonts w:ascii="Playfair Display" w:hAnsi="Playfair Display" w:cs="Times New Roman"/>
          <w:b/>
          <w:bCs/>
          <w:color w:val="002060"/>
        </w:rPr>
        <w:t xml:space="preserve">: </w:t>
      </w:r>
      <w:r w:rsidR="004C4F2D" w:rsidRPr="13845DC5">
        <w:rPr>
          <w:rFonts w:ascii="Playfair Display" w:hAnsi="Playfair Display" w:cs="Times New Roman"/>
          <w:i/>
          <w:iCs/>
          <w:color w:val="002060"/>
        </w:rPr>
        <w:t>Az intézmények megfelelő finanszírozási forrásokkal rendelkezzenek a tanulási és tanítási tevékenységekhez, valamint biztosítsanak adekvát és könnyen hozzáférhető tanulástámogató feltételeket és hallgatói szolgáltatásokat.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4821"/>
        <w:gridCol w:w="5670"/>
        <w:gridCol w:w="1985"/>
      </w:tblGrid>
      <w:tr w:rsidR="00EB1EA7" w:rsidRPr="00EB1EA7" w14:paraId="1BDA8A8B" w14:textId="77777777" w:rsidTr="00A15EC8">
        <w:trPr>
          <w:trHeight w:val="767"/>
          <w:tblHeader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05F2B" w14:textId="457E3CE5" w:rsidR="00EB1EA7" w:rsidRPr="005C4E0F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Értékelési szempontok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FBF2D" w14:textId="16F2F8FB" w:rsidR="00EB1EA7" w:rsidRPr="005C4E0F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Témakörhöz kapcsolódó kérdések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C5F0EC" w14:textId="02467C38" w:rsidR="00EB1EA7" w:rsidRPr="005C4E0F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Teljesülés rövid ismertetése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863D3" w14:textId="65182B4F" w:rsidR="00EB1EA7" w:rsidRPr="005C4E0F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5C4E0F">
              <w:rPr>
                <w:rFonts w:ascii="Playfair Display" w:hAnsi="Playfair Display" w:cs="Calibri"/>
                <w:sz w:val="20"/>
                <w:szCs w:val="20"/>
              </w:rPr>
              <w:t>Alátámasztó dokumentumok, linkek</w:t>
            </w:r>
          </w:p>
        </w:tc>
      </w:tr>
      <w:tr w:rsidR="00EB1EA7" w:rsidRPr="00EB1EA7" w14:paraId="51E66D82" w14:textId="478C1616" w:rsidTr="00A15EC8">
        <w:trPr>
          <w:trHeight w:val="1009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93C9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A doktori képzéshez szükséges infrastruktúra (kutatás/művészeti tevékenységek, oktatás és </w:t>
            </w: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lastRenderedPageBreak/>
              <w:t>tanulás céljára szolgáló helyiségek és eszközök, szakirodalom, könyvtár, adatbázisok, laborok, műszerek, informatikai rendszerek) mennyisége, minősége és hozzáférhetősége megfelelő.</w:t>
            </w:r>
          </w:p>
        </w:tc>
        <w:tc>
          <w:tcPr>
            <w:tcW w:w="4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5705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lastRenderedPageBreak/>
              <w:t xml:space="preserve">A könyvtári és információs rendszer mennyire alkalmas a nemzetközi szakirodalom, adatbázisok stb. révén a nemzetközi tudományos információs szolgáltatások támogatására?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1BDA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829C0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546C9281" w14:textId="59A689D5" w:rsidTr="00A15EC8">
        <w:trPr>
          <w:trHeight w:val="1009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02F9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CFC5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Milyen szolgáltatásokkal (plágiumellenőrzés, számítógépes állomások, pályázat konferenciarészvétel/publikálás támogatására) segítik a doktoranduszok eredményességét és kutatási tevékenységeik láthatóvá tételét?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6CB7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29D79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739BB98C" w14:textId="306016C8" w:rsidTr="00A15EC8">
        <w:trPr>
          <w:trHeight w:val="672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3999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A183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Miként használják ki a távoktatás és az online rendszerek nyújtotta lehetőségeket?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ECE4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6B8BE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1877E524" w14:textId="26FA32CF" w:rsidTr="00A15EC8">
        <w:trPr>
          <w:trHeight w:val="36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A1E14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C699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Rendelkezésre állnak-e a megfelelő laborok, műszerek?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B38C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BE452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2E9DB154" w14:textId="16F315AD" w:rsidTr="00A15EC8">
        <w:trPr>
          <w:trHeight w:val="366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6367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51A4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Összességében hogyan értékelik a doktori képzés infrastrukturális adottságait?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D7A6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3594E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7EC1F264" w14:textId="5DD5B570" w:rsidTr="00A15EC8">
        <w:trPr>
          <w:trHeight w:val="672"/>
        </w:trPr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BBEE" w14:textId="6F6A2AD3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doktoranduszok szempontjából fontos a tanulmányi ügyintézés minősége. A tanulmányi ügyekkel kapcsolatos információk a doktoranduszok számára elérhető felületen megtalálhatók, az ügyintézés minősége kielégíti a doktoranduszok igényeit.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8030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Külön ügyintézővel rendelkezik a DI, vagy más szervezeti egység végzi a doktori képzéssel kapcsolatos adminisztrációt?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8C7A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E7B0D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393C8200" w14:textId="5CE39B1B" w:rsidTr="00A15EC8">
        <w:trPr>
          <w:trHeight w:val="1009"/>
        </w:trPr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F0DE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6F4E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Az adminisztratív személyzet mennyire képes az idegen nyelvű doktoranduszok számára a magyar nyelvűekkel azonos szintű szolgáltatásokat nyújtani?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A83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23E8A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7A414915" w14:textId="10E604E9" w:rsidTr="00A15EC8">
        <w:trPr>
          <w:trHeight w:val="672"/>
        </w:trPr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0EBE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7992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Elektronikus ügyintézésre biztosított a lehetőség (magyar és külföldi hallgatók számára egyaránt)?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BB1F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70AC7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38EC0FCB" w14:textId="1D454D9C" w:rsidTr="00A15EC8">
        <w:trPr>
          <w:trHeight w:val="672"/>
        </w:trPr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AD01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lastRenderedPageBreak/>
              <w:t>A doktoranduszoknak lehetőségük van részt venni a nemzetközi tudományos életben.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DB4C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Milyen nemzetközi kapcsolatrendszerrel rendelkezik a DI, és ezt milyen formában és milyen eredménnyel tudják a doktoranduszok hasznosítani?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EDF0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F20EF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006B8198" w14:textId="6D5F1A55" w:rsidTr="00A15EC8">
        <w:trPr>
          <w:trHeight w:val="1009"/>
        </w:trPr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9F1C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023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Milyen szervezett és nem szervezett módon támogatja a DI az említett együttműködéseket és kapcsolattartást (pl. nemzetközi tudományos egyesületekben való tagság)?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95D2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220D8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40F9BE12" w14:textId="3F32E2F3" w:rsidTr="00A15EC8">
        <w:trPr>
          <w:trHeight w:val="1345"/>
        </w:trPr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51B3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23AF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Biztosított-e az idegen nyelvű kurzusokon való részvétel lehetősége a hazai és nemzetközi doktoranduszok számára? Kérjük, sorolja fel a DI-ben az első tanévben tervezett idegen nyelven biztosított, kredittel elismert doktori kurzusokat.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C5D8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94E16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03623FD9" w14:textId="17755240" w:rsidTr="00A15EC8">
        <w:trPr>
          <w:trHeight w:val="672"/>
        </w:trPr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80C5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E34D" w14:textId="56F9CB46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Kérjük, sorolja fel az első tanévben tervezett, a DI-ben vendégoktatók által megtartott, kredittel elismert kurzusokat.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E3BA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113D5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5751B1A3" w14:textId="77C276CA" w:rsidTr="00A15EC8">
        <w:trPr>
          <w:trHeight w:val="672"/>
        </w:trPr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233F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A doktoranduszok számára tanulmányi és szociális nehézségek esetén rendelkezésre álló támogatások illeszkednek az igényekhez, biztosítják az </w:t>
            </w:r>
            <w:proofErr w:type="spellStart"/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inkluzivitást</w:t>
            </w:r>
            <w:proofErr w:type="spellEnd"/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és az esélyegyenlőséget.</w:t>
            </w: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29A9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Milyen mentorálási, felzárkóztatási, tehetséggondozási és karrier-tanácsadási segítséget biztosítanak (ideértve a külföldi doktoranduszokat is)?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2951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42E39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58F565CF" w14:textId="0A7E30E1" w:rsidTr="00A15EC8">
        <w:trPr>
          <w:trHeight w:val="672"/>
        </w:trPr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904E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F539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segítik elő a fogyatékkal élők és egyéb hátrányos helyzetű csoportok hozzáférését az oktatáshoz?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7355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5D812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1835B5C5" w14:textId="14DEE416" w:rsidTr="00A15EC8">
        <w:trPr>
          <w:trHeight w:val="1009"/>
        </w:trPr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9F8C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A688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Amennyiben ezen szolgáltatások szervezése intézményi/kari szinten zajlik, hogyan biztosítják, hogy a doktoranduszok értesüljenek ezekről a lehetőségekről?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A619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0E6A6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</w:tbl>
    <w:p w14:paraId="31DC2E7E" w14:textId="77777777" w:rsidR="004C4F2D" w:rsidRDefault="004C4F2D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60DF187E" w14:textId="77777777" w:rsidR="002B1E96" w:rsidRPr="002B1E96" w:rsidRDefault="002B1E96" w:rsidP="00E75EB3">
      <w:pPr>
        <w:pStyle w:val="Cmsor3"/>
        <w:rPr>
          <w:rFonts w:eastAsiaTheme="minorHAnsi"/>
        </w:rPr>
      </w:pPr>
      <w:bookmarkStart w:id="20" w:name="_Toc42101234"/>
      <w:bookmarkStart w:id="21" w:name="_Toc188951785"/>
      <w:r w:rsidRPr="002B1E96">
        <w:rPr>
          <w:rFonts w:eastAsiaTheme="minorHAnsi"/>
        </w:rPr>
        <w:t>ESG 1.7 Információkezelés</w:t>
      </w:r>
      <w:bookmarkEnd w:id="20"/>
      <w:bookmarkEnd w:id="21"/>
    </w:p>
    <w:p w14:paraId="5899B0D5" w14:textId="0F946ED0" w:rsidR="002B1E96" w:rsidRPr="00503705" w:rsidRDefault="73A25935" w:rsidP="13845DC5">
      <w:pPr>
        <w:spacing w:after="360" w:line="240" w:lineRule="auto"/>
        <w:jc w:val="both"/>
        <w:rPr>
          <w:rFonts w:ascii="Playfair Display" w:hAnsi="Playfair Display" w:cs="Times New Roman"/>
          <w:i/>
          <w:iCs/>
          <w:color w:val="002060"/>
        </w:rPr>
      </w:pPr>
      <w:r w:rsidRPr="13845DC5">
        <w:rPr>
          <w:rFonts w:ascii="Playfair Display" w:hAnsi="Playfair Display" w:cs="Times New Roman"/>
          <w:b/>
          <w:bCs/>
          <w:color w:val="002060"/>
        </w:rPr>
        <w:t>Standard</w:t>
      </w:r>
      <w:r w:rsidR="002B1E96" w:rsidRPr="13845DC5">
        <w:rPr>
          <w:rFonts w:ascii="Playfair Display" w:hAnsi="Playfair Display" w:cs="Times New Roman"/>
          <w:b/>
          <w:bCs/>
          <w:color w:val="002060"/>
        </w:rPr>
        <w:t>:</w:t>
      </w:r>
      <w:r w:rsidR="002B1E96" w:rsidRPr="13845DC5">
        <w:rPr>
          <w:rFonts w:ascii="Playfair Display" w:hAnsi="Playfair Display" w:cs="Times New Roman"/>
          <w:color w:val="002060"/>
        </w:rPr>
        <w:t xml:space="preserve"> </w:t>
      </w:r>
      <w:r w:rsidR="002B1E96" w:rsidRPr="13845DC5">
        <w:rPr>
          <w:rFonts w:ascii="Playfair Display" w:hAnsi="Playfair Display" w:cs="Times New Roman"/>
          <w:i/>
          <w:iCs/>
          <w:color w:val="002060"/>
        </w:rPr>
        <w:t>Az intézmények gyűjtsenek, elemezzenek és használjanak releváns információkat képzési programjaik és egyéb tevékenységeik irányítására.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253"/>
        <w:gridCol w:w="5811"/>
        <w:gridCol w:w="1985"/>
      </w:tblGrid>
      <w:tr w:rsidR="00622749" w:rsidRPr="00EB1EA7" w14:paraId="5DD97566" w14:textId="21DB6DBF" w:rsidTr="00A15EC8">
        <w:trPr>
          <w:trHeight w:val="69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8E16D" w14:textId="788BAA9F" w:rsidR="00622749" w:rsidRPr="00622749" w:rsidRDefault="00622749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622749">
              <w:rPr>
                <w:rFonts w:ascii="Playfair Display" w:hAnsi="Playfair Display" w:cs="Calibri"/>
                <w:sz w:val="20"/>
                <w:szCs w:val="20"/>
              </w:rPr>
              <w:t>Értékelési szempontok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D0277" w14:textId="211D8183" w:rsidR="00622749" w:rsidRPr="00622749" w:rsidRDefault="00622749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622749">
              <w:rPr>
                <w:rFonts w:ascii="Playfair Display" w:hAnsi="Playfair Display" w:cs="Calibri"/>
                <w:sz w:val="20"/>
                <w:szCs w:val="20"/>
              </w:rPr>
              <w:t>Témakörhöz kapcsolódó kérdések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E47056" w14:textId="03FE39DD" w:rsidR="00622749" w:rsidRPr="00622749" w:rsidRDefault="00622749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622749">
              <w:rPr>
                <w:rFonts w:ascii="Playfair Display" w:hAnsi="Playfair Display" w:cs="Calibri"/>
                <w:sz w:val="20"/>
                <w:szCs w:val="20"/>
              </w:rPr>
              <w:t>Teljesülés rövid ismertetése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67CAA" w14:textId="4AFE7A66" w:rsidR="00622749" w:rsidRPr="00622749" w:rsidRDefault="00622749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622749">
              <w:rPr>
                <w:rFonts w:ascii="Playfair Display" w:hAnsi="Playfair Display" w:cs="Calibri"/>
                <w:sz w:val="20"/>
                <w:szCs w:val="20"/>
              </w:rPr>
              <w:t>Alátámasztó dokumentumok, linkek</w:t>
            </w:r>
          </w:p>
        </w:tc>
      </w:tr>
      <w:tr w:rsidR="00622749" w:rsidRPr="00EB1EA7" w14:paraId="41CC7995" w14:textId="07DB5863" w:rsidTr="00A15EC8">
        <w:trPr>
          <w:trHeight w:val="6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5986" w14:textId="77777777" w:rsidR="00622749" w:rsidRPr="00EB1EA7" w:rsidRDefault="00622749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doktoranduszok disszertációi és publikációs/művészeti tevékenysége eléri a DI minőségcéljaiban meghatározott szintet.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4B76" w14:textId="77777777" w:rsidR="00622749" w:rsidRPr="00EB1EA7" w:rsidRDefault="00622749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Hogyan méri majd a DI a doktoranduszok tevékenységét, és milyen információkra alapozva, mit tesz a színvonal esetleges javításáért?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C95B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B84DB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622749" w:rsidRPr="00EB1EA7" w14:paraId="00908384" w14:textId="4BAAB47C" w:rsidTr="00A15EC8">
        <w:trPr>
          <w:trHeight w:val="649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1495" w14:textId="77777777" w:rsidR="00622749" w:rsidRPr="00EB1EA7" w:rsidRDefault="00622749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fokozatot szerzettek szakmai életútja összhangban van a DI küldetésével.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6E99" w14:textId="77777777" w:rsidR="00622749" w:rsidRPr="00EB1EA7" w:rsidRDefault="00622749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Hogyan követi nyomon a DI a fokozatszerzők további életútját, és hogyan használja fel ezt az információt tevékenysége fejlesztéséhez?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AE96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A00CB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622749" w:rsidRPr="00EB1EA7" w14:paraId="51A8AEBA" w14:textId="5B3DE71E" w:rsidTr="00A15EC8">
        <w:trPr>
          <w:trHeight w:val="649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1C52" w14:textId="77777777" w:rsidR="00622749" w:rsidRPr="00EB1EA7" w:rsidRDefault="00622749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4691" w14:textId="77777777" w:rsidR="00622749" w:rsidRPr="00EB1EA7" w:rsidRDefault="00622749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Az anyaintézmény gyűjti az adatokat, és a DI abból az adatbázisból szűri le a részére releváns adatokat, vagy végez külön adatgyűjtést?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E046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60D45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622749" w:rsidRPr="00EB1EA7" w14:paraId="3C4EC91D" w14:textId="3834C716" w:rsidTr="00A15EC8">
        <w:trPr>
          <w:trHeight w:val="830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F27B" w14:textId="77777777" w:rsidR="00622749" w:rsidRPr="00EB1EA7" w:rsidRDefault="00622749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DI működésével, a doktori programokkal és más tevékenységgel kapcsolatos hatékony információgyűjtési és -elemzési folyamatok a belső minőségbiztosítási rendszer részei.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B83" w14:textId="77777777" w:rsidR="00622749" w:rsidRPr="00EB1EA7" w:rsidRDefault="00622749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Hogyan méri a DI a működésével és a doktori programjaival kapcsolatos hallgatói elégedettséget?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00D6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A3C2D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622749" w:rsidRPr="00EB1EA7" w14:paraId="69A8989A" w14:textId="648D87F3" w:rsidTr="00A15EC8">
        <w:trPr>
          <w:trHeight w:val="649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404B" w14:textId="77777777" w:rsidR="00622749" w:rsidRPr="00EB1EA7" w:rsidRDefault="00622749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4027" w14:textId="77777777" w:rsidR="00622749" w:rsidRPr="00EB1EA7" w:rsidRDefault="00622749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Milyen adatokat gyűjtenek a könyvtár és egyéb infrastruktúra használatára vonatkozóan, és hogyan használják fel ezeket?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203C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0B991" w14:textId="77777777" w:rsidR="00622749" w:rsidRPr="00EB1EA7" w:rsidRDefault="00622749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</w:tbl>
    <w:p w14:paraId="2F0FFF0E" w14:textId="77777777" w:rsidR="004C4F2D" w:rsidRDefault="004C4F2D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3BB651D7" w14:textId="77777777" w:rsidR="002B1E96" w:rsidRPr="002B1E96" w:rsidRDefault="002B1E96" w:rsidP="00E75EB3">
      <w:pPr>
        <w:pStyle w:val="Cmsor3"/>
        <w:rPr>
          <w:rFonts w:eastAsiaTheme="minorHAnsi"/>
        </w:rPr>
      </w:pPr>
      <w:bookmarkStart w:id="22" w:name="_Toc42101235"/>
      <w:bookmarkStart w:id="23" w:name="_Toc188951786"/>
      <w:r w:rsidRPr="002B1E96">
        <w:rPr>
          <w:rFonts w:eastAsiaTheme="minorHAnsi"/>
        </w:rPr>
        <w:t>ESG 1.8 Nyilvános információk</w:t>
      </w:r>
      <w:bookmarkEnd w:id="22"/>
      <w:bookmarkEnd w:id="23"/>
    </w:p>
    <w:p w14:paraId="16173AF1" w14:textId="6C1006C4" w:rsidR="002B1E96" w:rsidRPr="00503705" w:rsidRDefault="1B1F7E5E" w:rsidP="00A15EC8">
      <w:pPr>
        <w:spacing w:after="240" w:line="240" w:lineRule="auto"/>
        <w:jc w:val="both"/>
        <w:rPr>
          <w:rFonts w:ascii="Playfair Display" w:hAnsi="Playfair Display"/>
          <w:color w:val="002060"/>
        </w:rPr>
      </w:pPr>
      <w:r w:rsidRPr="13845DC5">
        <w:rPr>
          <w:rFonts w:ascii="Playfair Display" w:hAnsi="Playfair Display" w:cs="Times New Roman"/>
          <w:b/>
          <w:bCs/>
          <w:color w:val="002060"/>
        </w:rPr>
        <w:t>Standard</w:t>
      </w:r>
      <w:r w:rsidR="002B1E96" w:rsidRPr="13845DC5">
        <w:rPr>
          <w:rFonts w:ascii="Playfair Display" w:hAnsi="Playfair Display" w:cs="Times New Roman"/>
          <w:b/>
          <w:bCs/>
          <w:color w:val="002060"/>
        </w:rPr>
        <w:t>:</w:t>
      </w:r>
      <w:r w:rsidR="002B1E96" w:rsidRPr="13845DC5">
        <w:rPr>
          <w:rFonts w:ascii="Playfair Display" w:hAnsi="Playfair Display" w:cs="Times New Roman"/>
          <w:color w:val="002060"/>
        </w:rPr>
        <w:t xml:space="preserve"> </w:t>
      </w:r>
      <w:r w:rsidR="002B1E96" w:rsidRPr="13845DC5">
        <w:rPr>
          <w:rFonts w:ascii="Playfair Display" w:hAnsi="Playfair Display" w:cs="Times New Roman"/>
          <w:i/>
          <w:iCs/>
          <w:color w:val="002060"/>
        </w:rPr>
        <w:t>Az intézmények tegyenek közzé világos, pontos, objektív, naprakész és könnyen hozzáférhető információkat tevékenységükről, benne képzési programjaikról.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536"/>
        <w:gridCol w:w="5811"/>
        <w:gridCol w:w="1985"/>
      </w:tblGrid>
      <w:tr w:rsidR="00EB1EA7" w:rsidRPr="00EB1EA7" w14:paraId="2EAF4ED8" w14:textId="77777777" w:rsidTr="00A15EC8">
        <w:trPr>
          <w:trHeight w:val="368"/>
          <w:tblHeader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155425A7" w14:textId="6FC47575" w:rsidR="00EB1EA7" w:rsidRPr="00A15EC8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A15EC8">
              <w:rPr>
                <w:rFonts w:ascii="Playfair Display" w:hAnsi="Playfair Display" w:cs="Calibri"/>
                <w:sz w:val="20"/>
                <w:szCs w:val="20"/>
              </w:rPr>
              <w:t>Értékelési szempontok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8354418" w14:textId="5EDB086E" w:rsidR="00EB1EA7" w:rsidRPr="00A15EC8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A15EC8">
              <w:rPr>
                <w:rFonts w:ascii="Playfair Display" w:hAnsi="Playfair Display" w:cs="Calibri"/>
                <w:sz w:val="20"/>
                <w:szCs w:val="20"/>
              </w:rPr>
              <w:t>Témakörhöz kapcsolódó kérdések</w:t>
            </w:r>
          </w:p>
        </w:tc>
        <w:tc>
          <w:tcPr>
            <w:tcW w:w="5811" w:type="dxa"/>
            <w:shd w:val="clear" w:color="auto" w:fill="D9D9D9" w:themeFill="background1" w:themeFillShade="D9"/>
            <w:noWrap/>
            <w:vAlign w:val="center"/>
          </w:tcPr>
          <w:p w14:paraId="0E82310D" w14:textId="13DF58C7" w:rsidR="00EB1EA7" w:rsidRPr="00A15EC8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A15EC8">
              <w:rPr>
                <w:rFonts w:ascii="Playfair Display" w:hAnsi="Playfair Display" w:cs="Calibri"/>
                <w:sz w:val="20"/>
                <w:szCs w:val="20"/>
              </w:rPr>
              <w:t>Teljesülés rövid ismertetése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A07B84" w14:textId="7A5D8495" w:rsidR="00EB1EA7" w:rsidRPr="00A15EC8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A15EC8">
              <w:rPr>
                <w:rFonts w:ascii="Playfair Display" w:hAnsi="Playfair Display" w:cs="Calibri"/>
                <w:sz w:val="20"/>
                <w:szCs w:val="20"/>
              </w:rPr>
              <w:t>Alátámasztó dokumentumok, linkek</w:t>
            </w:r>
          </w:p>
        </w:tc>
      </w:tr>
      <w:tr w:rsidR="00EB1EA7" w:rsidRPr="00EB1EA7" w14:paraId="0D7DECBF" w14:textId="43B22CC5" w:rsidTr="00A15EC8">
        <w:trPr>
          <w:trHeight w:val="368"/>
        </w:trPr>
        <w:tc>
          <w:tcPr>
            <w:tcW w:w="2694" w:type="dxa"/>
            <w:vMerge w:val="restart"/>
            <w:shd w:val="clear" w:color="auto" w:fill="auto"/>
            <w:vAlign w:val="center"/>
            <w:hideMark/>
          </w:tcPr>
          <w:p w14:paraId="7EE4DEB5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DI-vel kapcsolatos minden lényeges információ (szabályzatok, eljárások, határozatok, költségtérítések, védések, témakiírások, az értekezések) nyilvános, naprakész, és a DI honlapjáról könnyen megtalálható.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D40B5D9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Milyen eljárások biztosítják a legfrissebb információk közzétételét? 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14:paraId="268D157C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256C56E9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6DD90BF6" w14:textId="484EFE36" w:rsidTr="00A15EC8">
        <w:trPr>
          <w:trHeight w:val="435"/>
        </w:trPr>
        <w:tc>
          <w:tcPr>
            <w:tcW w:w="2694" w:type="dxa"/>
            <w:vMerge/>
            <w:vAlign w:val="center"/>
            <w:hideMark/>
          </w:tcPr>
          <w:p w14:paraId="32F025CB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1E69E62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Elérhetők az információk a képzés nyelvein?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14:paraId="4756F3F0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197B4818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16BAB4E6" w14:textId="29897878" w:rsidTr="00A15EC8">
        <w:trPr>
          <w:trHeight w:val="676"/>
        </w:trPr>
        <w:tc>
          <w:tcPr>
            <w:tcW w:w="2694" w:type="dxa"/>
            <w:vMerge/>
            <w:vAlign w:val="center"/>
            <w:hideMark/>
          </w:tcPr>
          <w:p w14:paraId="3AACCB09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1F5FD0D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A DI weboldalán az érdeklődők számára minden releváns információ megtalálható? 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14:paraId="24F99AF7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19DF4C78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0BF00389" w14:textId="268545E7" w:rsidTr="00A15EC8">
        <w:trPr>
          <w:trHeight w:val="676"/>
        </w:trPr>
        <w:tc>
          <w:tcPr>
            <w:tcW w:w="2694" w:type="dxa"/>
            <w:vMerge/>
            <w:vAlign w:val="center"/>
            <w:hideMark/>
          </w:tcPr>
          <w:p w14:paraId="13BA93C1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7C30F6D" w14:textId="77777777" w:rsidR="00EB1EA7" w:rsidRPr="00EB1EA7" w:rsidRDefault="00EB1EA7" w:rsidP="0041529A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Milyen egyéb kommunikációs csatornákat használnak tudományos, ill. egyéb célra (pl. kiadványok, projektnapok, konferenciák, közösségi média, hírlevél)?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14:paraId="1133D145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</w:tcPr>
          <w:p w14:paraId="61D76C22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</w:tbl>
    <w:p w14:paraId="2F75226C" w14:textId="77777777" w:rsidR="002B1E96" w:rsidRDefault="002B1E96" w:rsidP="00B858F1">
      <w:pPr>
        <w:spacing w:before="120" w:after="120"/>
        <w:jc w:val="both"/>
        <w:rPr>
          <w:rFonts w:ascii="Playfair Display" w:hAnsi="Playfair Display"/>
          <w:b/>
          <w:bCs/>
          <w:sz w:val="24"/>
          <w:szCs w:val="24"/>
        </w:rPr>
      </w:pPr>
    </w:p>
    <w:p w14:paraId="60629F0E" w14:textId="77777777" w:rsidR="00B85945" w:rsidRPr="00B85945" w:rsidRDefault="00B85945" w:rsidP="00E75EB3">
      <w:pPr>
        <w:pStyle w:val="Cmsor3"/>
        <w:rPr>
          <w:rFonts w:eastAsiaTheme="minorHAnsi"/>
        </w:rPr>
      </w:pPr>
      <w:bookmarkStart w:id="24" w:name="_Toc188951787"/>
      <w:r w:rsidRPr="00B85945">
        <w:rPr>
          <w:rFonts w:eastAsiaTheme="minorHAnsi"/>
        </w:rPr>
        <w:t>ESG 1.10 Rendszeres külső minőségbiztosítás</w:t>
      </w:r>
      <w:bookmarkEnd w:id="24"/>
    </w:p>
    <w:p w14:paraId="48AEF07D" w14:textId="0DCEF96C" w:rsidR="00B85945" w:rsidRPr="00503705" w:rsidRDefault="0F6F763D" w:rsidP="00A15EC8">
      <w:pPr>
        <w:spacing w:after="240" w:line="240" w:lineRule="auto"/>
        <w:jc w:val="both"/>
        <w:rPr>
          <w:rFonts w:ascii="Playfair Display" w:hAnsi="Playfair Display"/>
          <w:color w:val="002060"/>
        </w:rPr>
      </w:pPr>
      <w:r w:rsidRPr="13845DC5">
        <w:rPr>
          <w:rFonts w:ascii="Playfair Display" w:hAnsi="Playfair Display" w:cs="Times New Roman"/>
          <w:b/>
          <w:bCs/>
          <w:color w:val="002060"/>
        </w:rPr>
        <w:t>Standard</w:t>
      </w:r>
      <w:r w:rsidR="00B85945" w:rsidRPr="13845DC5">
        <w:rPr>
          <w:rFonts w:ascii="Playfair Display" w:hAnsi="Playfair Display" w:cs="Times New Roman"/>
          <w:b/>
          <w:bCs/>
          <w:color w:val="002060"/>
        </w:rPr>
        <w:t>:</w:t>
      </w:r>
      <w:r w:rsidR="00B85945" w:rsidRPr="13845DC5">
        <w:rPr>
          <w:rFonts w:ascii="Playfair Display" w:hAnsi="Playfair Display" w:cs="Times New Roman"/>
          <w:i/>
          <w:iCs/>
          <w:color w:val="002060"/>
        </w:rPr>
        <w:t xml:space="preserve"> Az intézményeket rendszeres időközönként külső minőségbiztosítás alá kell vetni az ESG szerint.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5023"/>
        <w:gridCol w:w="5811"/>
        <w:gridCol w:w="1985"/>
      </w:tblGrid>
      <w:tr w:rsidR="00EB1EA7" w:rsidRPr="00EB1EA7" w14:paraId="5B4DAB5E" w14:textId="77777777" w:rsidTr="00A15EC8">
        <w:trPr>
          <w:trHeight w:val="680"/>
          <w:tblHeader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582C6" w14:textId="4BAEB654" w:rsidR="00EB1EA7" w:rsidRPr="00A15EC8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A15EC8">
              <w:rPr>
                <w:rFonts w:ascii="Playfair Display" w:hAnsi="Playfair Display" w:cs="Calibri"/>
                <w:sz w:val="20"/>
                <w:szCs w:val="20"/>
              </w:rPr>
              <w:lastRenderedPageBreak/>
              <w:t>Értékelési szempontok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6C311" w14:textId="08959F84" w:rsidR="00EB1EA7" w:rsidRPr="00A15EC8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A15EC8">
              <w:rPr>
                <w:rFonts w:ascii="Playfair Display" w:hAnsi="Playfair Display" w:cs="Calibri"/>
                <w:sz w:val="20"/>
                <w:szCs w:val="20"/>
              </w:rPr>
              <w:t>Témakörhöz kapcsolódó kérdések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A6348D" w14:textId="6F154D1D" w:rsidR="00EB1EA7" w:rsidRPr="00A15EC8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A15EC8">
              <w:rPr>
                <w:rFonts w:ascii="Playfair Display" w:hAnsi="Playfair Display" w:cs="Calibri"/>
                <w:sz w:val="20"/>
                <w:szCs w:val="20"/>
              </w:rPr>
              <w:t>Teljesülés rövid ismertetése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AC2BE" w14:textId="1F3C3A4A" w:rsidR="00EB1EA7" w:rsidRPr="00A15EC8" w:rsidRDefault="00EB1EA7" w:rsidP="00EB1EA7">
            <w:pPr>
              <w:spacing w:after="0" w:line="240" w:lineRule="auto"/>
              <w:jc w:val="center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A15EC8">
              <w:rPr>
                <w:rFonts w:ascii="Playfair Display" w:hAnsi="Playfair Display" w:cs="Calibri"/>
                <w:sz w:val="20"/>
                <w:szCs w:val="20"/>
              </w:rPr>
              <w:t>Alátámasztó dokumentumok, linkek</w:t>
            </w:r>
          </w:p>
        </w:tc>
      </w:tr>
      <w:tr w:rsidR="00EB1EA7" w:rsidRPr="00EB1EA7" w14:paraId="1F3318F8" w14:textId="1792CD1F" w:rsidTr="00A15EC8">
        <w:trPr>
          <w:trHeight w:val="680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0CD7" w14:textId="77777777" w:rsidR="00EB1EA7" w:rsidRPr="00EB1EA7" w:rsidRDefault="00EB1EA7" w:rsidP="0029298D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Az intézményeket rendszeres időközönként külső minőségbiztosítás alá kell vetni az ESG szerint.</w:t>
            </w:r>
          </w:p>
        </w:tc>
        <w:tc>
          <w:tcPr>
            <w:tcW w:w="5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7AE9" w14:textId="77777777" w:rsidR="00EB1EA7" w:rsidRPr="00EB1EA7" w:rsidRDefault="00EB1EA7" w:rsidP="0029298D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A MAB-</w:t>
            </w:r>
            <w:proofErr w:type="spellStart"/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on</w:t>
            </w:r>
            <w:proofErr w:type="spellEnd"/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 xml:space="preserve"> kívül egyéb nemzetközi akkreditáló testület végzett-e akkreditációs eljárást az intézményben?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F837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EBCF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  <w:tr w:rsidR="00EB1EA7" w:rsidRPr="00EB1EA7" w14:paraId="5EFB3F99" w14:textId="5E0A6453" w:rsidTr="00A15EC8">
        <w:trPr>
          <w:trHeight w:val="680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A469" w14:textId="77777777" w:rsidR="00EB1EA7" w:rsidRPr="00EB1EA7" w:rsidRDefault="00EB1EA7" w:rsidP="0029298D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FA1C" w14:textId="77777777" w:rsidR="00EB1EA7" w:rsidRPr="00EB1EA7" w:rsidRDefault="00EB1EA7" w:rsidP="0029298D">
            <w:pPr>
              <w:spacing w:after="0" w:line="240" w:lineRule="auto"/>
              <w:jc w:val="both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Ha igen, milyen típusút, milyen gyakorisággal? Milyen dokumentumokkal igazolhatók ezen eljárások?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ACDC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  <w:r w:rsidRPr="00EB1EA7"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7B55E" w14:textId="77777777" w:rsidR="00EB1EA7" w:rsidRPr="00EB1EA7" w:rsidRDefault="00EB1EA7" w:rsidP="00EB1EA7">
            <w:pPr>
              <w:spacing w:after="0" w:line="240" w:lineRule="auto"/>
              <w:rPr>
                <w:rFonts w:ascii="Playfair Display" w:eastAsia="Times New Roman" w:hAnsi="Playfair Display" w:cs="Calibri"/>
                <w:sz w:val="20"/>
                <w:szCs w:val="20"/>
                <w:lang w:eastAsia="hu-HU"/>
              </w:rPr>
            </w:pPr>
          </w:p>
        </w:tc>
      </w:tr>
    </w:tbl>
    <w:p w14:paraId="5F46D9F2" w14:textId="548D4338" w:rsidR="00B85945" w:rsidRDefault="00EA2863" w:rsidP="00EA2863">
      <w:pPr>
        <w:pStyle w:val="Cmsor1"/>
      </w:pPr>
      <w:bookmarkStart w:id="25" w:name="_Toc188951788"/>
      <w:r>
        <w:t>II. Mellékletek</w:t>
      </w:r>
      <w:bookmarkEnd w:id="25"/>
    </w:p>
    <w:p w14:paraId="1AC25837" w14:textId="43555B3D" w:rsidR="00EA2863" w:rsidRPr="00EA2863" w:rsidRDefault="00EA2863" w:rsidP="00EA2863">
      <w:pPr>
        <w:pStyle w:val="Cmsor2"/>
      </w:pPr>
      <w:bookmarkStart w:id="26" w:name="_Toc188951789"/>
      <w:r w:rsidRPr="00EA2863">
        <w:t>II.1. melléklet: Idegen nyelvű kurzusok (csak magyar nyelvű képzés esetén)</w:t>
      </w:r>
      <w:bookmarkEnd w:id="26"/>
    </w:p>
    <w:p w14:paraId="2CBEF5E5" w14:textId="3904050F" w:rsidR="00EA2863" w:rsidRPr="000D2615" w:rsidRDefault="00EA2863" w:rsidP="00EA2863">
      <w:pPr>
        <w:spacing w:after="0" w:line="240" w:lineRule="auto"/>
        <w:rPr>
          <w:rFonts w:ascii="Playfair Display" w:hAnsi="Playfair Display"/>
          <w:sz w:val="20"/>
          <w:szCs w:val="20"/>
        </w:rPr>
      </w:pPr>
      <w:r w:rsidRPr="0A44E92B">
        <w:rPr>
          <w:rFonts w:ascii="Playfair Display" w:hAnsi="Playfair Display"/>
          <w:sz w:val="20"/>
          <w:szCs w:val="20"/>
        </w:rPr>
        <w:t>Kérjük, sorolja fel az első tanévben tervezett) kredittel elismert kurzusokat:</w:t>
      </w:r>
    </w:p>
    <w:p w14:paraId="34EC29B5" w14:textId="77777777" w:rsidR="00EA2863" w:rsidRPr="000D2615" w:rsidRDefault="00EA2863" w:rsidP="00EA2863">
      <w:pPr>
        <w:spacing w:after="0" w:line="240" w:lineRule="auto"/>
        <w:rPr>
          <w:rFonts w:ascii="Playfair Display" w:hAnsi="Playfair Display" w:cstheme="minorHAnsi"/>
        </w:rPr>
      </w:pPr>
    </w:p>
    <w:tbl>
      <w:tblPr>
        <w:tblStyle w:val="Rcsostblzat"/>
        <w:tblW w:w="13422" w:type="dxa"/>
        <w:tblLayout w:type="fixed"/>
        <w:tblLook w:val="04A0" w:firstRow="1" w:lastRow="0" w:firstColumn="1" w:lastColumn="0" w:noHBand="0" w:noVBand="1"/>
      </w:tblPr>
      <w:tblGrid>
        <w:gridCol w:w="5949"/>
        <w:gridCol w:w="3118"/>
        <w:gridCol w:w="4355"/>
      </w:tblGrid>
      <w:tr w:rsidR="00EA2863" w:rsidRPr="000D2615" w14:paraId="7D647E4F" w14:textId="77777777" w:rsidTr="000D5C35">
        <w:trPr>
          <w:trHeight w:val="742"/>
          <w:tblHeader/>
        </w:trPr>
        <w:tc>
          <w:tcPr>
            <w:tcW w:w="5949" w:type="dxa"/>
            <w:shd w:val="clear" w:color="auto" w:fill="D9D9D9" w:themeFill="background1" w:themeFillShade="D9"/>
            <w:vAlign w:val="center"/>
          </w:tcPr>
          <w:p w14:paraId="6308E496" w14:textId="77777777" w:rsidR="00EA2863" w:rsidRPr="000D2615" w:rsidRDefault="00EA2863" w:rsidP="002070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Kurzus címe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6736348B" w14:textId="77777777" w:rsidR="00EA2863" w:rsidRPr="000D2615" w:rsidRDefault="00EA2863" w:rsidP="002070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Kurzus nyelve</w:t>
            </w:r>
          </w:p>
        </w:tc>
        <w:tc>
          <w:tcPr>
            <w:tcW w:w="4355" w:type="dxa"/>
            <w:shd w:val="clear" w:color="auto" w:fill="D9D9D9" w:themeFill="background1" w:themeFillShade="D9"/>
            <w:vAlign w:val="center"/>
          </w:tcPr>
          <w:p w14:paraId="526164CA" w14:textId="77777777" w:rsidR="00EA2863" w:rsidRPr="000D2615" w:rsidRDefault="00EA2863" w:rsidP="002070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neve</w:t>
            </w:r>
          </w:p>
        </w:tc>
      </w:tr>
      <w:tr w:rsidR="00EA2863" w:rsidRPr="000D2615" w14:paraId="636DCB55" w14:textId="77777777" w:rsidTr="00EA2863">
        <w:trPr>
          <w:trHeight w:val="312"/>
        </w:trPr>
        <w:tc>
          <w:tcPr>
            <w:tcW w:w="5949" w:type="dxa"/>
          </w:tcPr>
          <w:p w14:paraId="134E903E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118" w:type="dxa"/>
          </w:tcPr>
          <w:p w14:paraId="48005198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55" w:type="dxa"/>
          </w:tcPr>
          <w:p w14:paraId="76DBA59F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2776E8B9" w14:textId="77777777" w:rsidTr="00EA2863">
        <w:trPr>
          <w:trHeight w:val="299"/>
        </w:trPr>
        <w:tc>
          <w:tcPr>
            <w:tcW w:w="5949" w:type="dxa"/>
          </w:tcPr>
          <w:p w14:paraId="061E5E6A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118" w:type="dxa"/>
          </w:tcPr>
          <w:p w14:paraId="5618B683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55" w:type="dxa"/>
          </w:tcPr>
          <w:p w14:paraId="6CF8FFB6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64F4EE09" w14:textId="77777777" w:rsidTr="00EA2863">
        <w:trPr>
          <w:trHeight w:val="299"/>
        </w:trPr>
        <w:tc>
          <w:tcPr>
            <w:tcW w:w="5949" w:type="dxa"/>
          </w:tcPr>
          <w:p w14:paraId="17CAC193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118" w:type="dxa"/>
          </w:tcPr>
          <w:p w14:paraId="5870D900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55" w:type="dxa"/>
          </w:tcPr>
          <w:p w14:paraId="01CE5DE6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71570624" w14:textId="77777777" w:rsidTr="00EA2863">
        <w:trPr>
          <w:trHeight w:val="299"/>
        </w:trPr>
        <w:tc>
          <w:tcPr>
            <w:tcW w:w="5949" w:type="dxa"/>
          </w:tcPr>
          <w:p w14:paraId="235CB2EE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118" w:type="dxa"/>
          </w:tcPr>
          <w:p w14:paraId="36490EE8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55" w:type="dxa"/>
          </w:tcPr>
          <w:p w14:paraId="0BAC7026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5CDABD8F" w14:textId="77777777" w:rsidTr="00EA2863">
        <w:trPr>
          <w:trHeight w:val="312"/>
        </w:trPr>
        <w:tc>
          <w:tcPr>
            <w:tcW w:w="5949" w:type="dxa"/>
          </w:tcPr>
          <w:p w14:paraId="329396F4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118" w:type="dxa"/>
          </w:tcPr>
          <w:p w14:paraId="6312DC7D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55" w:type="dxa"/>
          </w:tcPr>
          <w:p w14:paraId="0412B5F2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2ECD0200" w14:textId="77777777" w:rsidTr="00EA2863">
        <w:trPr>
          <w:trHeight w:val="299"/>
        </w:trPr>
        <w:tc>
          <w:tcPr>
            <w:tcW w:w="5949" w:type="dxa"/>
          </w:tcPr>
          <w:p w14:paraId="4EA6FD13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3118" w:type="dxa"/>
          </w:tcPr>
          <w:p w14:paraId="7747B1D8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55" w:type="dxa"/>
          </w:tcPr>
          <w:p w14:paraId="56EF20DF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</w:tbl>
    <w:p w14:paraId="09D27E90" w14:textId="77777777" w:rsidR="00EA2863" w:rsidRPr="000D2615" w:rsidRDefault="00EA2863" w:rsidP="00EA2863">
      <w:pPr>
        <w:spacing w:after="0" w:line="240" w:lineRule="auto"/>
        <w:rPr>
          <w:rFonts w:ascii="Playfair Display" w:hAnsi="Playfair Display" w:cstheme="minorHAnsi"/>
          <w:i/>
          <w:sz w:val="16"/>
        </w:rPr>
      </w:pPr>
    </w:p>
    <w:p w14:paraId="6B4E1581" w14:textId="5E290EA1" w:rsidR="00EA2863" w:rsidRPr="000D2615" w:rsidRDefault="00EA2863" w:rsidP="00EA2863">
      <w:pPr>
        <w:pStyle w:val="Cmsor2"/>
      </w:pPr>
      <w:bookmarkStart w:id="27" w:name="_Toc42101242"/>
      <w:bookmarkStart w:id="28" w:name="_Toc188951790"/>
      <w:r w:rsidRPr="000D2615">
        <w:lastRenderedPageBreak/>
        <w:t>II.</w:t>
      </w:r>
      <w:r>
        <w:t>2</w:t>
      </w:r>
      <w:r w:rsidRPr="000D2615">
        <w:t xml:space="preserve"> melléklet: Vendégoktatók</w:t>
      </w:r>
      <w:bookmarkEnd w:id="27"/>
      <w:bookmarkEnd w:id="28"/>
    </w:p>
    <w:p w14:paraId="2D9BE2BC" w14:textId="25FAED5D" w:rsidR="00EA2863" w:rsidRPr="000D2615" w:rsidRDefault="00EA2863" w:rsidP="00EA286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Kérjük, sorolja fel az első tanévben tervezett, kredittel elismert kurzusokat:</w:t>
      </w:r>
    </w:p>
    <w:p w14:paraId="50561D4A" w14:textId="77777777" w:rsidR="00EA2863" w:rsidRPr="000D2615" w:rsidRDefault="00EA2863" w:rsidP="00EA2863">
      <w:pPr>
        <w:pStyle w:val="Listaszerbekezds"/>
        <w:spacing w:after="0" w:line="240" w:lineRule="auto"/>
        <w:ind w:left="360"/>
        <w:rPr>
          <w:rFonts w:ascii="Playfair Display" w:hAnsi="Playfair Display" w:cstheme="minorHAnsi"/>
          <w:sz w:val="20"/>
        </w:rPr>
      </w:pPr>
    </w:p>
    <w:tbl>
      <w:tblPr>
        <w:tblStyle w:val="Rcsostblzat"/>
        <w:tblW w:w="11425" w:type="dxa"/>
        <w:tblLayout w:type="fixed"/>
        <w:tblLook w:val="04A0" w:firstRow="1" w:lastRow="0" w:firstColumn="1" w:lastColumn="0" w:noHBand="0" w:noVBand="1"/>
      </w:tblPr>
      <w:tblGrid>
        <w:gridCol w:w="4820"/>
        <w:gridCol w:w="2285"/>
        <w:gridCol w:w="4320"/>
      </w:tblGrid>
      <w:tr w:rsidR="00EA2863" w:rsidRPr="000D2615" w14:paraId="784D7AF6" w14:textId="77777777" w:rsidTr="000D5C35">
        <w:trPr>
          <w:trHeight w:val="555"/>
          <w:tblHeader/>
        </w:trPr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12AE754E" w14:textId="77777777" w:rsidR="00EA2863" w:rsidRPr="000D2615" w:rsidRDefault="00EA2863" w:rsidP="002070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A kurzus címe</w:t>
            </w:r>
          </w:p>
        </w:tc>
        <w:tc>
          <w:tcPr>
            <w:tcW w:w="2285" w:type="dxa"/>
            <w:shd w:val="clear" w:color="auto" w:fill="D9D9D9" w:themeFill="background1" w:themeFillShade="D9"/>
            <w:vAlign w:val="center"/>
          </w:tcPr>
          <w:p w14:paraId="49D6E782" w14:textId="77777777" w:rsidR="00EA2863" w:rsidRPr="000D2615" w:rsidRDefault="00EA2863" w:rsidP="002070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neve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547C4C94" w14:textId="77777777" w:rsidR="00EA2863" w:rsidRPr="000D2615" w:rsidRDefault="00EA2863" w:rsidP="00207077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munkahelye</w:t>
            </w:r>
          </w:p>
        </w:tc>
      </w:tr>
      <w:tr w:rsidR="00EA2863" w:rsidRPr="000D2615" w14:paraId="5BECCC29" w14:textId="77777777" w:rsidTr="00EA2863">
        <w:trPr>
          <w:trHeight w:val="340"/>
        </w:trPr>
        <w:tc>
          <w:tcPr>
            <w:tcW w:w="4820" w:type="dxa"/>
          </w:tcPr>
          <w:p w14:paraId="4F7315CB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285" w:type="dxa"/>
          </w:tcPr>
          <w:p w14:paraId="0D17F247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20" w:type="dxa"/>
          </w:tcPr>
          <w:p w14:paraId="6AB645FD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01664119" w14:textId="77777777" w:rsidTr="00EA2863">
        <w:trPr>
          <w:trHeight w:val="340"/>
        </w:trPr>
        <w:tc>
          <w:tcPr>
            <w:tcW w:w="4820" w:type="dxa"/>
          </w:tcPr>
          <w:p w14:paraId="266126B9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285" w:type="dxa"/>
          </w:tcPr>
          <w:p w14:paraId="78175B46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20" w:type="dxa"/>
          </w:tcPr>
          <w:p w14:paraId="331584FE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6F0B97B4" w14:textId="77777777" w:rsidTr="00EA2863">
        <w:trPr>
          <w:trHeight w:val="340"/>
        </w:trPr>
        <w:tc>
          <w:tcPr>
            <w:tcW w:w="4820" w:type="dxa"/>
          </w:tcPr>
          <w:p w14:paraId="4ADBFFF9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285" w:type="dxa"/>
          </w:tcPr>
          <w:p w14:paraId="74F7CD85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20" w:type="dxa"/>
          </w:tcPr>
          <w:p w14:paraId="6194595B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4571DC70" w14:textId="77777777" w:rsidTr="00EA2863">
        <w:trPr>
          <w:trHeight w:val="340"/>
        </w:trPr>
        <w:tc>
          <w:tcPr>
            <w:tcW w:w="4820" w:type="dxa"/>
          </w:tcPr>
          <w:p w14:paraId="2AC7C6A8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285" w:type="dxa"/>
          </w:tcPr>
          <w:p w14:paraId="4D1CF505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20" w:type="dxa"/>
          </w:tcPr>
          <w:p w14:paraId="6AF0A06C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7783FB2B" w14:textId="77777777" w:rsidTr="00EA2863">
        <w:trPr>
          <w:trHeight w:val="340"/>
        </w:trPr>
        <w:tc>
          <w:tcPr>
            <w:tcW w:w="4820" w:type="dxa"/>
          </w:tcPr>
          <w:p w14:paraId="3C22805E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285" w:type="dxa"/>
          </w:tcPr>
          <w:p w14:paraId="12A35B29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20" w:type="dxa"/>
          </w:tcPr>
          <w:p w14:paraId="1FECF289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  <w:tr w:rsidR="00EA2863" w:rsidRPr="000D2615" w14:paraId="2DB16EF2" w14:textId="77777777" w:rsidTr="00EA2863">
        <w:trPr>
          <w:trHeight w:val="340"/>
        </w:trPr>
        <w:tc>
          <w:tcPr>
            <w:tcW w:w="4820" w:type="dxa"/>
          </w:tcPr>
          <w:p w14:paraId="1D47A6AC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285" w:type="dxa"/>
          </w:tcPr>
          <w:p w14:paraId="60D1C64F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4320" w:type="dxa"/>
          </w:tcPr>
          <w:p w14:paraId="6AB1BCE2" w14:textId="77777777" w:rsidR="00EA2863" w:rsidRPr="000D2615" w:rsidRDefault="00EA2863" w:rsidP="00207077">
            <w:pPr>
              <w:rPr>
                <w:rFonts w:ascii="Playfair Display" w:hAnsi="Playfair Display" w:cstheme="minorHAnsi"/>
              </w:rPr>
            </w:pPr>
          </w:p>
        </w:tc>
      </w:tr>
    </w:tbl>
    <w:p w14:paraId="0AFA066B" w14:textId="2DEF598A" w:rsidR="00EA2863" w:rsidRPr="000D2615" w:rsidRDefault="00EA2863" w:rsidP="00EA2863">
      <w:pPr>
        <w:rPr>
          <w:rFonts w:ascii="Playfair Display" w:hAnsi="Playfair Display" w:cstheme="minorHAnsi"/>
        </w:rPr>
      </w:pPr>
    </w:p>
    <w:sectPr w:rsidR="00EA2863" w:rsidRPr="000D2615" w:rsidSect="00C123AE">
      <w:footerReference w:type="first" r:id="rId19"/>
      <w:pgSz w:w="16838" w:h="11906" w:orient="landscape" w:code="9"/>
      <w:pgMar w:top="1418" w:right="1418" w:bottom="1418" w:left="1418" w:header="72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5612F" w14:textId="77777777" w:rsidR="002F4979" w:rsidRDefault="002F4979" w:rsidP="00AD0690">
      <w:pPr>
        <w:spacing w:after="0" w:line="240" w:lineRule="auto"/>
      </w:pPr>
      <w:r>
        <w:separator/>
      </w:r>
    </w:p>
  </w:endnote>
  <w:endnote w:type="continuationSeparator" w:id="0">
    <w:p w14:paraId="12C47E58" w14:textId="77777777" w:rsidR="002F4979" w:rsidRDefault="002F4979" w:rsidP="00AD0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layfair Display">
    <w:altName w:val="Calibri"/>
    <w:charset w:val="EE"/>
    <w:family w:val="auto"/>
    <w:pitch w:val="variable"/>
    <w:sig w:usb0="20000207" w:usb1="00000000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83E3" w14:textId="77777777" w:rsidR="00265627" w:rsidRDefault="0026562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6719662"/>
      <w:docPartObj>
        <w:docPartGallery w:val="Page Numbers (Bottom of Page)"/>
        <w:docPartUnique/>
      </w:docPartObj>
    </w:sdtPr>
    <w:sdtEndPr>
      <w:rPr>
        <w:rFonts w:ascii="Playfair Display" w:hAnsi="Playfair Display"/>
      </w:rPr>
    </w:sdtEndPr>
    <w:sdtContent>
      <w:p w14:paraId="70930BDA" w14:textId="77777777" w:rsidR="00C7769C" w:rsidRPr="00DC6B92" w:rsidRDefault="00C7769C">
        <w:pPr>
          <w:pStyle w:val="llb"/>
          <w:jc w:val="center"/>
          <w:rPr>
            <w:rFonts w:ascii="Playfair Display" w:hAnsi="Playfair Display"/>
          </w:rPr>
        </w:pPr>
        <w:r w:rsidRPr="00DC6B92">
          <w:rPr>
            <w:rFonts w:ascii="Playfair Display" w:hAnsi="Playfair Display"/>
          </w:rPr>
          <w:fldChar w:fldCharType="begin"/>
        </w:r>
        <w:r w:rsidRPr="00DC6B92">
          <w:rPr>
            <w:rFonts w:ascii="Playfair Display" w:hAnsi="Playfair Display"/>
          </w:rPr>
          <w:instrText>PAGE   \* MERGEFORMAT</w:instrText>
        </w:r>
        <w:r w:rsidRPr="00DC6B92">
          <w:rPr>
            <w:rFonts w:ascii="Playfair Display" w:hAnsi="Playfair Display"/>
          </w:rPr>
          <w:fldChar w:fldCharType="separate"/>
        </w:r>
        <w:r w:rsidR="000B5831">
          <w:rPr>
            <w:rFonts w:ascii="Playfair Display" w:hAnsi="Playfair Display"/>
            <w:noProof/>
          </w:rPr>
          <w:t>10</w:t>
        </w:r>
        <w:r w:rsidRPr="00DC6B92">
          <w:rPr>
            <w:rFonts w:ascii="Playfair Display" w:hAnsi="Playfair Display"/>
          </w:rPr>
          <w:fldChar w:fldCharType="end"/>
        </w:r>
      </w:p>
    </w:sdtContent>
  </w:sdt>
  <w:p w14:paraId="44E871BC" w14:textId="77777777" w:rsidR="00C7769C" w:rsidRDefault="00C7769C" w:rsidP="00DC6B92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9E56" w14:textId="77777777" w:rsidR="00C7769C" w:rsidRDefault="00C7769C" w:rsidP="00F155F9">
    <w:pPr>
      <w:pStyle w:val="llb"/>
      <w:ind w:right="-283"/>
      <w:jc w:val="right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533F7129" wp14:editId="4175B8B8">
          <wp:simplePos x="0" y="0"/>
          <wp:positionH relativeFrom="column">
            <wp:posOffset>3900805</wp:posOffset>
          </wp:positionH>
          <wp:positionV relativeFrom="paragraph">
            <wp:posOffset>-2039620</wp:posOffset>
          </wp:positionV>
          <wp:extent cx="2035175" cy="2209800"/>
          <wp:effectExtent l="0" t="0" r="3175" b="0"/>
          <wp:wrapSquare wrapText="bothSides"/>
          <wp:docPr id="1855435874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175" cy="220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97F3A" w14:textId="068CC0B3" w:rsidR="0066005A" w:rsidRDefault="0066005A" w:rsidP="00F155F9">
    <w:pPr>
      <w:pStyle w:val="llb"/>
      <w:ind w:right="-283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055F0" w14:textId="4AA94951" w:rsidR="00825039" w:rsidRDefault="00825039" w:rsidP="00F155F9">
    <w:pPr>
      <w:pStyle w:val="llb"/>
      <w:ind w:right="-28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C60F6" w14:textId="77777777" w:rsidR="002F4979" w:rsidRDefault="002F4979" w:rsidP="00AD0690">
      <w:pPr>
        <w:spacing w:after="0" w:line="240" w:lineRule="auto"/>
      </w:pPr>
      <w:r>
        <w:separator/>
      </w:r>
    </w:p>
  </w:footnote>
  <w:footnote w:type="continuationSeparator" w:id="0">
    <w:p w14:paraId="78FF97B7" w14:textId="77777777" w:rsidR="002F4979" w:rsidRDefault="002F4979" w:rsidP="00AD0690">
      <w:pPr>
        <w:spacing w:after="0" w:line="240" w:lineRule="auto"/>
      </w:pPr>
      <w:r>
        <w:continuationSeparator/>
      </w:r>
    </w:p>
  </w:footnote>
  <w:footnote w:id="1">
    <w:p w14:paraId="10B3481C" w14:textId="00E066C2" w:rsidR="007E714B" w:rsidRPr="00746736" w:rsidRDefault="007E714B" w:rsidP="007E714B">
      <w:pPr>
        <w:pStyle w:val="Lbjegyzetszveg"/>
        <w:jc w:val="both"/>
        <w:rPr>
          <w:rFonts w:ascii="Playfair Display" w:hAnsi="Playfair Display"/>
          <w:sz w:val="18"/>
          <w:szCs w:val="18"/>
        </w:rPr>
      </w:pPr>
      <w:r w:rsidRPr="00746736">
        <w:rPr>
          <w:rStyle w:val="Lbjegyzet-hivatkozs"/>
          <w:rFonts w:ascii="Playfair Display" w:hAnsi="Playfair Display"/>
          <w:sz w:val="18"/>
          <w:szCs w:val="18"/>
        </w:rPr>
        <w:footnoteRef/>
      </w:r>
      <w:r w:rsidRPr="00746736">
        <w:rPr>
          <w:rFonts w:ascii="Playfair Display" w:hAnsi="Playfair Display"/>
          <w:sz w:val="18"/>
          <w:szCs w:val="18"/>
        </w:rPr>
        <w:t xml:space="preserve"> Működő doktori iskola új tudományággal történő bővítése esetén</w:t>
      </w:r>
      <w:r w:rsidR="00746736">
        <w:rPr>
          <w:rFonts w:ascii="Playfair Display" w:hAnsi="Playfair Display"/>
          <w:sz w:val="18"/>
          <w:szCs w:val="18"/>
        </w:rPr>
        <w:t xml:space="preserve"> kitöltendő</w:t>
      </w:r>
      <w:r w:rsidRPr="00746736">
        <w:rPr>
          <w:rFonts w:ascii="Playfair Display" w:hAnsi="Playfair Display"/>
          <w:sz w:val="18"/>
          <w:szCs w:val="18"/>
        </w:rPr>
        <w:t>. Létesítendő doktori iskola eljárásnál a MAB Titkárság ad azonosítószámot a doktori iskolának.</w:t>
      </w:r>
    </w:p>
  </w:footnote>
  <w:footnote w:id="2">
    <w:p w14:paraId="00274D70" w14:textId="77777777" w:rsidR="00AF452F" w:rsidRPr="00E061FC" w:rsidRDefault="00AF452F" w:rsidP="00AF452F">
      <w:pPr>
        <w:pStyle w:val="Lbjegyzetszveg"/>
        <w:jc w:val="both"/>
        <w:rPr>
          <w:sz w:val="18"/>
          <w:szCs w:val="14"/>
        </w:rPr>
      </w:pPr>
      <w:r>
        <w:rPr>
          <w:rStyle w:val="Lbjegyzet-hivatkozs"/>
        </w:rPr>
        <w:footnoteRef/>
      </w:r>
      <w:r>
        <w:t xml:space="preserve"> </w:t>
      </w:r>
      <w:r w:rsidRPr="00E061FC">
        <w:rPr>
          <w:rFonts w:ascii="Playfair Display" w:hAnsi="Playfair Display"/>
          <w:sz w:val="18"/>
          <w:szCs w:val="14"/>
        </w:rPr>
        <w:t xml:space="preserve">COUNCIL RECOMMENDATION (EU) 2021/2122 of 26 </w:t>
      </w:r>
      <w:proofErr w:type="gramStart"/>
      <w:r w:rsidRPr="00E061FC">
        <w:rPr>
          <w:rFonts w:ascii="Playfair Display" w:hAnsi="Playfair Display"/>
          <w:sz w:val="18"/>
          <w:szCs w:val="14"/>
        </w:rPr>
        <w:t>November</w:t>
      </w:r>
      <w:proofErr w:type="gramEnd"/>
      <w:r w:rsidRPr="00E061FC">
        <w:rPr>
          <w:rFonts w:ascii="Playfair Display" w:hAnsi="Playfair Display"/>
          <w:sz w:val="18"/>
          <w:szCs w:val="14"/>
        </w:rPr>
        <w:t xml:space="preserve"> 2021 </w:t>
      </w:r>
      <w:proofErr w:type="spellStart"/>
      <w:r w:rsidRPr="00E061FC">
        <w:rPr>
          <w:rFonts w:ascii="Playfair Display" w:hAnsi="Playfair Display"/>
          <w:sz w:val="18"/>
          <w:szCs w:val="14"/>
        </w:rPr>
        <w:t>on</w:t>
      </w:r>
      <w:proofErr w:type="spellEnd"/>
      <w:r w:rsidRPr="00E061FC">
        <w:rPr>
          <w:rFonts w:ascii="Playfair Display" w:hAnsi="Playfair Display"/>
          <w:sz w:val="18"/>
          <w:szCs w:val="14"/>
        </w:rPr>
        <w:t xml:space="preserve"> a </w:t>
      </w:r>
      <w:proofErr w:type="spellStart"/>
      <w:r w:rsidRPr="00E061FC">
        <w:rPr>
          <w:rFonts w:ascii="Playfair Display" w:hAnsi="Playfair Display"/>
          <w:sz w:val="18"/>
          <w:szCs w:val="14"/>
        </w:rPr>
        <w:t>Pact</w:t>
      </w:r>
      <w:proofErr w:type="spellEnd"/>
      <w:r w:rsidRPr="00E061FC">
        <w:rPr>
          <w:rFonts w:ascii="Playfair Display" w:hAnsi="Playfair Display"/>
          <w:sz w:val="18"/>
          <w:szCs w:val="14"/>
        </w:rPr>
        <w:t xml:space="preserve"> </w:t>
      </w:r>
      <w:proofErr w:type="spellStart"/>
      <w:r w:rsidRPr="00E061FC">
        <w:rPr>
          <w:rFonts w:ascii="Playfair Display" w:hAnsi="Playfair Display"/>
          <w:sz w:val="18"/>
          <w:szCs w:val="14"/>
        </w:rPr>
        <w:t>for</w:t>
      </w:r>
      <w:proofErr w:type="spellEnd"/>
      <w:r w:rsidRPr="00E061FC">
        <w:rPr>
          <w:rFonts w:ascii="Playfair Display" w:hAnsi="Playfair Display"/>
          <w:sz w:val="18"/>
          <w:szCs w:val="14"/>
        </w:rPr>
        <w:t xml:space="preserve"> Research and </w:t>
      </w:r>
      <w:proofErr w:type="spellStart"/>
      <w:r w:rsidRPr="00E061FC">
        <w:rPr>
          <w:rFonts w:ascii="Playfair Display" w:hAnsi="Playfair Display"/>
          <w:sz w:val="18"/>
          <w:szCs w:val="14"/>
        </w:rPr>
        <w:t>Innovation</w:t>
      </w:r>
      <w:proofErr w:type="spellEnd"/>
      <w:r w:rsidRPr="00E061FC">
        <w:rPr>
          <w:rFonts w:ascii="Playfair Display" w:hAnsi="Playfair Display"/>
          <w:sz w:val="18"/>
          <w:szCs w:val="14"/>
        </w:rPr>
        <w:t xml:space="preserve"> in Europe</w:t>
      </w:r>
    </w:p>
  </w:footnote>
  <w:footnote w:id="3">
    <w:p w14:paraId="7ED273F6" w14:textId="77777777" w:rsidR="00AF452F" w:rsidRPr="00A067CA" w:rsidRDefault="00AF452F" w:rsidP="00AF452F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A067CA">
        <w:rPr>
          <w:rFonts w:ascii="Playfair Display" w:hAnsi="Playfair Display" w:cstheme="minorHAnsi"/>
          <w:sz w:val="18"/>
          <w:szCs w:val="18"/>
        </w:rPr>
        <w:t>Ezeket az alapelveket a 2010-ben megjelent ún. salzburgi ajánlások („Salzburg II”) tovább magyarázzák és részletezik.</w:t>
      </w:r>
      <w:r w:rsidRPr="00A067CA">
        <w:rPr>
          <w:rFonts w:ascii="Playfair Display" w:hAnsi="Playfair Display"/>
          <w:sz w:val="18"/>
          <w:szCs w:val="18"/>
        </w:rPr>
        <w:t xml:space="preserve"> Salzburg II RECOMMENDATIONS - European </w:t>
      </w:r>
      <w:proofErr w:type="spellStart"/>
      <w:r w:rsidRPr="00A067CA">
        <w:rPr>
          <w:rFonts w:ascii="Playfair Display" w:hAnsi="Playfair Display"/>
          <w:sz w:val="18"/>
          <w:szCs w:val="18"/>
        </w:rPr>
        <w:t>Universities</w:t>
      </w:r>
      <w:proofErr w:type="spellEnd"/>
      <w:r w:rsidRPr="00A067CA">
        <w:rPr>
          <w:rFonts w:ascii="Playfair Display" w:hAnsi="Playfair Display"/>
          <w:sz w:val="18"/>
          <w:szCs w:val="18"/>
        </w:rPr>
        <w:t xml:space="preserve">’ </w:t>
      </w:r>
      <w:proofErr w:type="spellStart"/>
      <w:r w:rsidRPr="00A067CA">
        <w:rPr>
          <w:rFonts w:ascii="Playfair Display" w:hAnsi="Playfair Display"/>
          <w:sz w:val="18"/>
          <w:szCs w:val="18"/>
        </w:rPr>
        <w:t>Achievements</w:t>
      </w:r>
      <w:proofErr w:type="spellEnd"/>
      <w:r w:rsidRPr="00A067CA">
        <w:rPr>
          <w:rFonts w:ascii="Playfair Display" w:hAnsi="Playfair Display"/>
          <w:sz w:val="18"/>
          <w:szCs w:val="18"/>
        </w:rPr>
        <w:t xml:space="preserve"> </w:t>
      </w:r>
      <w:proofErr w:type="spellStart"/>
      <w:r w:rsidRPr="00A067CA">
        <w:rPr>
          <w:rFonts w:ascii="Playfair Display" w:hAnsi="Playfair Display"/>
          <w:sz w:val="18"/>
          <w:szCs w:val="18"/>
        </w:rPr>
        <w:t>since</w:t>
      </w:r>
      <w:proofErr w:type="spellEnd"/>
      <w:r w:rsidRPr="00A067CA">
        <w:rPr>
          <w:rFonts w:ascii="Playfair Display" w:hAnsi="Playfair Display"/>
          <w:sz w:val="18"/>
          <w:szCs w:val="18"/>
        </w:rPr>
        <w:t xml:space="preserve"> 2005 in </w:t>
      </w:r>
      <w:proofErr w:type="spellStart"/>
      <w:r w:rsidRPr="00A067CA">
        <w:rPr>
          <w:rFonts w:ascii="Playfair Display" w:hAnsi="Playfair Display"/>
          <w:sz w:val="18"/>
          <w:szCs w:val="18"/>
        </w:rPr>
        <w:t>Implementing</w:t>
      </w:r>
      <w:proofErr w:type="spellEnd"/>
      <w:r w:rsidRPr="00A067CA">
        <w:rPr>
          <w:rFonts w:ascii="Playfair Display" w:hAnsi="Playfair Display"/>
          <w:sz w:val="18"/>
          <w:szCs w:val="18"/>
        </w:rPr>
        <w:t xml:space="preserve"> </w:t>
      </w:r>
      <w:proofErr w:type="spellStart"/>
      <w:r w:rsidRPr="00A067CA">
        <w:rPr>
          <w:rFonts w:ascii="Playfair Display" w:hAnsi="Playfair Display"/>
          <w:sz w:val="18"/>
          <w:szCs w:val="18"/>
        </w:rPr>
        <w:t>the</w:t>
      </w:r>
      <w:proofErr w:type="spellEnd"/>
      <w:r w:rsidRPr="00A067CA">
        <w:rPr>
          <w:rFonts w:ascii="Playfair Display" w:hAnsi="Playfair Display"/>
          <w:sz w:val="18"/>
          <w:szCs w:val="18"/>
        </w:rPr>
        <w:t xml:space="preserve"> Salzburg </w:t>
      </w:r>
      <w:proofErr w:type="spellStart"/>
      <w:r w:rsidRPr="00A067CA">
        <w:rPr>
          <w:rFonts w:ascii="Playfair Display" w:hAnsi="Playfair Display"/>
          <w:sz w:val="18"/>
          <w:szCs w:val="18"/>
        </w:rPr>
        <w:t>Principles</w:t>
      </w:r>
      <w:proofErr w:type="spellEnd"/>
      <w:r w:rsidRPr="00A067CA">
        <w:rPr>
          <w:rFonts w:ascii="Playfair Display" w:hAnsi="Playfair Display"/>
          <w:sz w:val="18"/>
          <w:szCs w:val="18"/>
        </w:rPr>
        <w:t xml:space="preserve">, European University </w:t>
      </w:r>
      <w:proofErr w:type="spellStart"/>
      <w:r w:rsidRPr="00A067CA">
        <w:rPr>
          <w:rFonts w:ascii="Playfair Display" w:hAnsi="Playfair Display"/>
          <w:sz w:val="18"/>
          <w:szCs w:val="18"/>
        </w:rPr>
        <w:t>Association</w:t>
      </w:r>
      <w:proofErr w:type="spellEnd"/>
      <w:r w:rsidRPr="00A067CA">
        <w:rPr>
          <w:rFonts w:ascii="Playfair Display" w:hAnsi="Playfair Display"/>
          <w:sz w:val="18"/>
          <w:szCs w:val="18"/>
        </w:rPr>
        <w:t>, 2010</w:t>
      </w:r>
    </w:p>
  </w:footnote>
  <w:footnote w:id="4">
    <w:p w14:paraId="35A152A0" w14:textId="6B7E01C6" w:rsidR="3061EFC9" w:rsidRPr="00E75EB3" w:rsidRDefault="3061EFC9" w:rsidP="00E75EB3">
      <w:pPr>
        <w:pStyle w:val="Lbjegyzetszveg"/>
        <w:jc w:val="both"/>
        <w:rPr>
          <w:rFonts w:ascii="Playfair Display" w:hAnsi="Playfair Display"/>
          <w:sz w:val="18"/>
          <w:szCs w:val="18"/>
        </w:rPr>
      </w:pPr>
      <w:r w:rsidRPr="00184F59">
        <w:rPr>
          <w:rStyle w:val="Lbjegyzet-hivatkozs"/>
          <w:rFonts w:ascii="Playfair Display" w:hAnsi="Playfair Display"/>
        </w:rPr>
        <w:footnoteRef/>
      </w:r>
      <w:r w:rsidRPr="00184F59">
        <w:rPr>
          <w:rFonts w:ascii="Playfair Display" w:hAnsi="Playfair Display"/>
        </w:rPr>
        <w:t xml:space="preserve"> </w:t>
      </w:r>
      <w:r w:rsidRPr="00E75EB3">
        <w:rPr>
          <w:rFonts w:ascii="Playfair Display" w:hAnsi="Playfair Display"/>
          <w:sz w:val="18"/>
          <w:szCs w:val="18"/>
        </w:rPr>
        <w:t>A doktori iskolákról, a doktori eljárások rendjéről és a habilitációról szóló 387/2012. (XII. 19.) Korm. rendelet 8/A. § (3) és (4) bekezdés alapján</w:t>
      </w:r>
      <w:r w:rsidR="00184F59" w:rsidRPr="00E75EB3">
        <w:rPr>
          <w:rFonts w:ascii="Playfair Display" w:hAnsi="Playfair Display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2F6F4" w14:textId="77777777" w:rsidR="00265627" w:rsidRDefault="0026562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56223" w14:textId="77777777" w:rsidR="00C7769C" w:rsidRDefault="00C7769C" w:rsidP="00200041">
    <w:pPr>
      <w:pStyle w:val="lfej"/>
      <w:spacing w:after="240"/>
      <w:jc w:val="center"/>
    </w:pPr>
    <w:r>
      <w:rPr>
        <w:noProof/>
        <w:lang w:eastAsia="hu-HU"/>
      </w:rPr>
      <w:drawing>
        <wp:inline distT="0" distB="0" distL="0" distR="0" wp14:anchorId="1D784897" wp14:editId="54F14ED0">
          <wp:extent cx="2157408" cy="731147"/>
          <wp:effectExtent l="0" t="0" r="0" b="0"/>
          <wp:docPr id="1619985581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408" cy="731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547A01" w14:textId="77777777" w:rsidR="00C7769C" w:rsidRDefault="00C7769C" w:rsidP="00200041">
    <w:pPr>
      <w:pStyle w:val="lfej"/>
      <w:spacing w:after="24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26499" w14:textId="06585C70" w:rsidR="00AA7E3D" w:rsidRDefault="003861C9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EEA7D" wp14:editId="387FB804">
              <wp:simplePos x="0" y="0"/>
              <wp:positionH relativeFrom="column">
                <wp:posOffset>2367280</wp:posOffset>
              </wp:positionH>
              <wp:positionV relativeFrom="paragraph">
                <wp:posOffset>-238126</wp:posOffset>
              </wp:positionV>
              <wp:extent cx="4086225" cy="904875"/>
              <wp:effectExtent l="0" t="0" r="9525" b="9525"/>
              <wp:wrapNone/>
              <wp:docPr id="2103262153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6225" cy="904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B77006" w14:textId="77777777" w:rsidR="006271DE" w:rsidRPr="008A780A" w:rsidRDefault="008A780A" w:rsidP="006271DE">
                          <w:pPr>
                            <w:spacing w:after="0"/>
                            <w:rPr>
                              <w:rFonts w:ascii="Playfair Display" w:hAnsi="Playfair Display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A780A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Útmutató doktori iskola létesítési és működő doktori iskola új tudományággal történő bővítésének ESG-alapú akkreditációs eljárásához</w:t>
                          </w:r>
                          <w:r w:rsidR="006271DE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 xml:space="preserve"> - </w:t>
                          </w:r>
                          <w:r w:rsidR="006271DE" w:rsidRPr="008A780A">
                            <w:rPr>
                              <w:rFonts w:ascii="Playfair Display" w:hAnsi="Playfair Display"/>
                              <w:b/>
                              <w:bCs/>
                              <w:sz w:val="20"/>
                              <w:szCs w:val="20"/>
                            </w:rPr>
                            <w:t>II. rész: Önértékelési eszköz</w:t>
                          </w:r>
                        </w:p>
                        <w:p w14:paraId="1FC1536C" w14:textId="3EF7326D" w:rsidR="003861C9" w:rsidRPr="008A780A" w:rsidRDefault="005F4A14" w:rsidP="008A780A">
                          <w:pPr>
                            <w:spacing w:after="0"/>
                            <w:jc w:val="both"/>
                            <w:rPr>
                              <w:rFonts w:ascii="Playfair Display" w:hAnsi="Playfair Display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 xml:space="preserve">MAB Testület </w:t>
                          </w:r>
                          <w:r w:rsidRPr="00265627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2024/7/</w:t>
                          </w:r>
                          <w:r w:rsidR="006271DE" w:rsidRPr="00265627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XX</w:t>
                          </w:r>
                          <w:r w:rsidRPr="00265627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sz. határozata alapján</w:t>
                          </w:r>
                          <w:r w:rsidR="006271DE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, hatályos: 2025. február 28-tól</w:t>
                          </w:r>
                        </w:p>
                        <w:p w14:paraId="301CAA76" w14:textId="77777777" w:rsidR="003861C9" w:rsidRDefault="003861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EEA7D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86.4pt;margin-top:-18.75pt;width:321.7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" fillcolor="white [3201]" stroked="f" strokeweight=".5pt">
              <v:textbox>
                <w:txbxContent>
                  <w:p w14:paraId="11B77006" w14:textId="77777777" w:rsidR="006271DE" w:rsidRPr="008A780A" w:rsidRDefault="008A780A" w:rsidP="006271DE">
                    <w:pPr>
                      <w:spacing w:after="0"/>
                      <w:rPr>
                        <w:rFonts w:ascii="Playfair Display" w:hAnsi="Playfair Display"/>
                        <w:b/>
                        <w:bCs/>
                        <w:sz w:val="20"/>
                        <w:szCs w:val="20"/>
                      </w:rPr>
                    </w:pPr>
                    <w:r w:rsidRPr="008A780A">
                      <w:rPr>
                        <w:rFonts w:ascii="Playfair Display" w:hAnsi="Playfair Display"/>
                        <w:sz w:val="18"/>
                        <w:szCs w:val="18"/>
                      </w:rPr>
                      <w:t>Útmutató doktori iskola létesítési és működő doktori iskola új tudományággal történő bővítésének ESG-alapú akkreditációs eljárásához</w:t>
                    </w:r>
                    <w:r w:rsidR="006271DE">
                      <w:rPr>
                        <w:rFonts w:ascii="Playfair Display" w:hAnsi="Playfair Display"/>
                        <w:sz w:val="18"/>
                        <w:szCs w:val="18"/>
                      </w:rPr>
                      <w:t xml:space="preserve"> - </w:t>
                    </w:r>
                    <w:r w:rsidR="006271DE" w:rsidRPr="008A780A">
                      <w:rPr>
                        <w:rFonts w:ascii="Playfair Display" w:hAnsi="Playfair Display"/>
                        <w:b/>
                        <w:bCs/>
                        <w:sz w:val="20"/>
                        <w:szCs w:val="20"/>
                      </w:rPr>
                      <w:t>II. rész: Önértékelési eszköz</w:t>
                    </w:r>
                  </w:p>
                  <w:p w14:paraId="1FC1536C" w14:textId="3EF7326D" w:rsidR="003861C9" w:rsidRPr="008A780A" w:rsidRDefault="005F4A14" w:rsidP="008A780A">
                    <w:pPr>
                      <w:spacing w:after="0"/>
                      <w:jc w:val="both"/>
                      <w:rPr>
                        <w:rFonts w:ascii="Playfair Display" w:hAnsi="Playfair Display"/>
                        <w:sz w:val="16"/>
                        <w:szCs w:val="16"/>
                      </w:rPr>
                    </w:pPr>
                    <w:r>
                      <w:rPr>
                        <w:rFonts w:ascii="Playfair Display" w:hAnsi="Playfair Display"/>
                        <w:sz w:val="18"/>
                        <w:szCs w:val="18"/>
                      </w:rPr>
                      <w:t xml:space="preserve">MAB Testület </w:t>
                    </w:r>
                    <w:r w:rsidRPr="00265627">
                      <w:rPr>
                        <w:rFonts w:ascii="Playfair Display" w:hAnsi="Playfair Display"/>
                        <w:sz w:val="18"/>
                        <w:szCs w:val="18"/>
                      </w:rPr>
                      <w:t>2024/7/</w:t>
                    </w:r>
                    <w:r w:rsidR="006271DE" w:rsidRPr="00265627">
                      <w:rPr>
                        <w:rFonts w:ascii="Playfair Display" w:hAnsi="Playfair Display"/>
                        <w:sz w:val="18"/>
                        <w:szCs w:val="18"/>
                      </w:rPr>
                      <w:t>XX</w:t>
                    </w:r>
                    <w:r w:rsidRPr="00265627">
                      <w:rPr>
                        <w:rFonts w:ascii="Playfair Display" w:hAnsi="Playfair Display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Playfair Display" w:hAnsi="Playfair Display"/>
                        <w:sz w:val="18"/>
                        <w:szCs w:val="18"/>
                      </w:rPr>
                      <w:t>sz. határozata alapján</w:t>
                    </w:r>
                    <w:r w:rsidR="006271DE">
                      <w:rPr>
                        <w:rFonts w:ascii="Playfair Display" w:hAnsi="Playfair Display"/>
                        <w:sz w:val="18"/>
                        <w:szCs w:val="18"/>
                      </w:rPr>
                      <w:t>, hatályos: 2025. február 28-tól</w:t>
                    </w:r>
                  </w:p>
                  <w:p w14:paraId="301CAA76" w14:textId="77777777" w:rsidR="003861C9" w:rsidRDefault="003861C9"/>
                </w:txbxContent>
              </v:textbox>
            </v:shape>
          </w:pict>
        </mc:Fallback>
      </mc:AlternateContent>
    </w:r>
    <w:r w:rsidR="00AA7E3D">
      <w:rPr>
        <w:noProof/>
        <w:lang w:eastAsia="hu-HU"/>
      </w:rPr>
      <w:drawing>
        <wp:inline distT="0" distB="0" distL="0" distR="0" wp14:anchorId="336D26BA" wp14:editId="42A3A386">
          <wp:extent cx="2157408" cy="731147"/>
          <wp:effectExtent l="0" t="0" r="0" b="0"/>
          <wp:docPr id="182956844" name="Kép 14" descr="A képen szöveg, Betűtípus, sor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481268" name="Kép 14" descr="A képen szöveg, Betűtípus, sor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7408" cy="731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7470"/>
    <w:multiLevelType w:val="hybridMultilevel"/>
    <w:tmpl w:val="763C6D2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B0E453E"/>
    <w:multiLevelType w:val="hybridMultilevel"/>
    <w:tmpl w:val="A4B6533C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D9B"/>
    <w:multiLevelType w:val="hybridMultilevel"/>
    <w:tmpl w:val="A22867EE"/>
    <w:lvl w:ilvl="0" w:tplc="A5F2D3D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22E0F"/>
    <w:multiLevelType w:val="hybridMultilevel"/>
    <w:tmpl w:val="551C9D32"/>
    <w:lvl w:ilvl="0" w:tplc="040E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54698"/>
    <w:multiLevelType w:val="multilevel"/>
    <w:tmpl w:val="399A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1958EA"/>
    <w:multiLevelType w:val="hybridMultilevel"/>
    <w:tmpl w:val="8130AC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67410"/>
    <w:multiLevelType w:val="hybridMultilevel"/>
    <w:tmpl w:val="E4E22DB6"/>
    <w:lvl w:ilvl="0" w:tplc="D7187534">
      <w:start w:val="1"/>
      <w:numFmt w:val="bullet"/>
      <w:lvlText w:val="-"/>
      <w:lvlJc w:val="left"/>
      <w:pPr>
        <w:ind w:left="720" w:hanging="360"/>
      </w:pPr>
      <w:rPr>
        <w:rFonts w:ascii="Playfair Display" w:eastAsiaTheme="minorHAnsi" w:hAnsi="Playfair Displa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F1AAD"/>
    <w:multiLevelType w:val="hybridMultilevel"/>
    <w:tmpl w:val="39F6EF88"/>
    <w:lvl w:ilvl="0" w:tplc="3F1472CE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909439F"/>
    <w:multiLevelType w:val="hybridMultilevel"/>
    <w:tmpl w:val="76587F3A"/>
    <w:lvl w:ilvl="0" w:tplc="6D3AC15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02596"/>
    <w:multiLevelType w:val="hybridMultilevel"/>
    <w:tmpl w:val="F77CD8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F60DF"/>
    <w:multiLevelType w:val="hybridMultilevel"/>
    <w:tmpl w:val="05DACB0E"/>
    <w:lvl w:ilvl="0" w:tplc="A3627E70">
      <w:numFmt w:val="bullet"/>
      <w:lvlText w:val="•"/>
      <w:lvlJc w:val="left"/>
      <w:pPr>
        <w:ind w:left="717" w:hanging="360"/>
      </w:pPr>
      <w:rPr>
        <w:rFonts w:ascii="Playfair Display" w:eastAsia="SimSun" w:hAnsi="Playfair Displa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41C96F39"/>
    <w:multiLevelType w:val="hybridMultilevel"/>
    <w:tmpl w:val="770EC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770DB"/>
    <w:multiLevelType w:val="hybridMultilevel"/>
    <w:tmpl w:val="6D4685EC"/>
    <w:lvl w:ilvl="0" w:tplc="942E26A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F361D4"/>
    <w:multiLevelType w:val="hybridMultilevel"/>
    <w:tmpl w:val="5DB8DCBC"/>
    <w:lvl w:ilvl="0" w:tplc="212CF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C3908"/>
    <w:multiLevelType w:val="hybridMultilevel"/>
    <w:tmpl w:val="D0FA7BC2"/>
    <w:lvl w:ilvl="0" w:tplc="DAD6C1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052ED"/>
    <w:multiLevelType w:val="hybridMultilevel"/>
    <w:tmpl w:val="8F8C7E04"/>
    <w:lvl w:ilvl="0" w:tplc="2B969C2A">
      <w:numFmt w:val="bullet"/>
      <w:lvlText w:val="-"/>
      <w:lvlJc w:val="left"/>
      <w:pPr>
        <w:ind w:left="720" w:hanging="360"/>
      </w:pPr>
      <w:rPr>
        <w:rFonts w:ascii="Playfair Display" w:eastAsia="Times New Roman" w:hAnsi="Playfair Display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11D0"/>
    <w:multiLevelType w:val="hybridMultilevel"/>
    <w:tmpl w:val="696CB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D0D9E"/>
    <w:multiLevelType w:val="hybridMultilevel"/>
    <w:tmpl w:val="3C46AC1C"/>
    <w:lvl w:ilvl="0" w:tplc="DFB01A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C5F6FAC"/>
    <w:multiLevelType w:val="hybridMultilevel"/>
    <w:tmpl w:val="BF5CB464"/>
    <w:lvl w:ilvl="0" w:tplc="EF567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5700F"/>
    <w:multiLevelType w:val="hybridMultilevel"/>
    <w:tmpl w:val="5C9A0B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62363"/>
    <w:multiLevelType w:val="hybridMultilevel"/>
    <w:tmpl w:val="95D484F6"/>
    <w:lvl w:ilvl="0" w:tplc="F9408D56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856637">
    <w:abstractNumId w:val="20"/>
  </w:num>
  <w:num w:numId="2" w16cid:durableId="1105155009">
    <w:abstractNumId w:val="4"/>
  </w:num>
  <w:num w:numId="3" w16cid:durableId="93597712">
    <w:abstractNumId w:val="18"/>
  </w:num>
  <w:num w:numId="4" w16cid:durableId="229267585">
    <w:abstractNumId w:val="12"/>
  </w:num>
  <w:num w:numId="5" w16cid:durableId="283691">
    <w:abstractNumId w:val="8"/>
  </w:num>
  <w:num w:numId="6" w16cid:durableId="2096590101">
    <w:abstractNumId w:val="16"/>
  </w:num>
  <w:num w:numId="7" w16cid:durableId="490027909">
    <w:abstractNumId w:val="14"/>
  </w:num>
  <w:num w:numId="8" w16cid:durableId="279608398">
    <w:abstractNumId w:val="0"/>
  </w:num>
  <w:num w:numId="9" w16cid:durableId="1615554641">
    <w:abstractNumId w:val="10"/>
  </w:num>
  <w:num w:numId="10" w16cid:durableId="1794011950">
    <w:abstractNumId w:val="1"/>
  </w:num>
  <w:num w:numId="11" w16cid:durableId="1870027425">
    <w:abstractNumId w:val="3"/>
  </w:num>
  <w:num w:numId="12" w16cid:durableId="166990431">
    <w:abstractNumId w:val="17"/>
  </w:num>
  <w:num w:numId="13" w16cid:durableId="879778658">
    <w:abstractNumId w:val="13"/>
  </w:num>
  <w:num w:numId="14" w16cid:durableId="1500196268">
    <w:abstractNumId w:val="6"/>
  </w:num>
  <w:num w:numId="15" w16cid:durableId="411045972">
    <w:abstractNumId w:val="5"/>
  </w:num>
  <w:num w:numId="16" w16cid:durableId="1641305596">
    <w:abstractNumId w:val="19"/>
  </w:num>
  <w:num w:numId="17" w16cid:durableId="716976651">
    <w:abstractNumId w:val="9"/>
  </w:num>
  <w:num w:numId="18" w16cid:durableId="651982073">
    <w:abstractNumId w:val="11"/>
  </w:num>
  <w:num w:numId="19" w16cid:durableId="1566138774">
    <w:abstractNumId w:val="15"/>
  </w:num>
  <w:num w:numId="20" w16cid:durableId="1743793993">
    <w:abstractNumId w:val="2"/>
  </w:num>
  <w:num w:numId="21" w16cid:durableId="14112688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A2"/>
    <w:rsid w:val="000007EF"/>
    <w:rsid w:val="000025EA"/>
    <w:rsid w:val="000044C6"/>
    <w:rsid w:val="00007C0C"/>
    <w:rsid w:val="00016B1D"/>
    <w:rsid w:val="000206E5"/>
    <w:rsid w:val="00021747"/>
    <w:rsid w:val="00027F21"/>
    <w:rsid w:val="00033DB6"/>
    <w:rsid w:val="00040A89"/>
    <w:rsid w:val="0004675F"/>
    <w:rsid w:val="00057811"/>
    <w:rsid w:val="00067790"/>
    <w:rsid w:val="00077880"/>
    <w:rsid w:val="00086076"/>
    <w:rsid w:val="00097B51"/>
    <w:rsid w:val="000B04A4"/>
    <w:rsid w:val="000B5831"/>
    <w:rsid w:val="000B626E"/>
    <w:rsid w:val="000C2611"/>
    <w:rsid w:val="000C3ADB"/>
    <w:rsid w:val="000C4718"/>
    <w:rsid w:val="000C49C9"/>
    <w:rsid w:val="000C4E1D"/>
    <w:rsid w:val="000C52D6"/>
    <w:rsid w:val="000D5C35"/>
    <w:rsid w:val="000E18B0"/>
    <w:rsid w:val="000F1A4C"/>
    <w:rsid w:val="00101EC1"/>
    <w:rsid w:val="00107080"/>
    <w:rsid w:val="00112574"/>
    <w:rsid w:val="00122196"/>
    <w:rsid w:val="001223D0"/>
    <w:rsid w:val="00131E01"/>
    <w:rsid w:val="001400DB"/>
    <w:rsid w:val="00142319"/>
    <w:rsid w:val="00143556"/>
    <w:rsid w:val="00153CDF"/>
    <w:rsid w:val="0016115A"/>
    <w:rsid w:val="00167FB3"/>
    <w:rsid w:val="001721B2"/>
    <w:rsid w:val="0017333B"/>
    <w:rsid w:val="001819AF"/>
    <w:rsid w:val="00181E67"/>
    <w:rsid w:val="00184F59"/>
    <w:rsid w:val="00187EFB"/>
    <w:rsid w:val="001960EE"/>
    <w:rsid w:val="001A38F7"/>
    <w:rsid w:val="001A7C37"/>
    <w:rsid w:val="001B6EC7"/>
    <w:rsid w:val="001B753C"/>
    <w:rsid w:val="001D20B2"/>
    <w:rsid w:val="001D58DF"/>
    <w:rsid w:val="001E4ABF"/>
    <w:rsid w:val="001F1FC6"/>
    <w:rsid w:val="001F5064"/>
    <w:rsid w:val="001F5B40"/>
    <w:rsid w:val="00200041"/>
    <w:rsid w:val="00206AD0"/>
    <w:rsid w:val="0022019F"/>
    <w:rsid w:val="00233020"/>
    <w:rsid w:val="00253163"/>
    <w:rsid w:val="00262A9C"/>
    <w:rsid w:val="00265627"/>
    <w:rsid w:val="00271965"/>
    <w:rsid w:val="002719BF"/>
    <w:rsid w:val="0027314F"/>
    <w:rsid w:val="00283977"/>
    <w:rsid w:val="002853FE"/>
    <w:rsid w:val="00290FB7"/>
    <w:rsid w:val="0029298D"/>
    <w:rsid w:val="00295657"/>
    <w:rsid w:val="002A33CB"/>
    <w:rsid w:val="002A34CB"/>
    <w:rsid w:val="002B1E96"/>
    <w:rsid w:val="002B3267"/>
    <w:rsid w:val="002B5686"/>
    <w:rsid w:val="002D319A"/>
    <w:rsid w:val="002D5CBF"/>
    <w:rsid w:val="002E0B1E"/>
    <w:rsid w:val="002E5526"/>
    <w:rsid w:val="002E5D16"/>
    <w:rsid w:val="002F0390"/>
    <w:rsid w:val="002F3439"/>
    <w:rsid w:val="002F4979"/>
    <w:rsid w:val="00301190"/>
    <w:rsid w:val="00303AEC"/>
    <w:rsid w:val="00307635"/>
    <w:rsid w:val="003206A2"/>
    <w:rsid w:val="00323DC2"/>
    <w:rsid w:val="00334921"/>
    <w:rsid w:val="0034378C"/>
    <w:rsid w:val="003610E6"/>
    <w:rsid w:val="00380E98"/>
    <w:rsid w:val="003861C9"/>
    <w:rsid w:val="00390567"/>
    <w:rsid w:val="0039438B"/>
    <w:rsid w:val="003B55D7"/>
    <w:rsid w:val="003C1E88"/>
    <w:rsid w:val="003C421B"/>
    <w:rsid w:val="003C48CE"/>
    <w:rsid w:val="003C64DE"/>
    <w:rsid w:val="003E29DF"/>
    <w:rsid w:val="003F7747"/>
    <w:rsid w:val="00404D3D"/>
    <w:rsid w:val="004130C2"/>
    <w:rsid w:val="0041529A"/>
    <w:rsid w:val="004175ED"/>
    <w:rsid w:val="00436E8B"/>
    <w:rsid w:val="00450C86"/>
    <w:rsid w:val="00451126"/>
    <w:rsid w:val="004515CD"/>
    <w:rsid w:val="00455ADE"/>
    <w:rsid w:val="00471591"/>
    <w:rsid w:val="00474FE6"/>
    <w:rsid w:val="00476864"/>
    <w:rsid w:val="004821DC"/>
    <w:rsid w:val="0048476C"/>
    <w:rsid w:val="004856A2"/>
    <w:rsid w:val="00486485"/>
    <w:rsid w:val="004875F1"/>
    <w:rsid w:val="00493757"/>
    <w:rsid w:val="004A33AC"/>
    <w:rsid w:val="004A562F"/>
    <w:rsid w:val="004B6777"/>
    <w:rsid w:val="004C189D"/>
    <w:rsid w:val="004C26A6"/>
    <w:rsid w:val="004C43FF"/>
    <w:rsid w:val="004C4F2D"/>
    <w:rsid w:val="004C4F58"/>
    <w:rsid w:val="004D6FCD"/>
    <w:rsid w:val="00503705"/>
    <w:rsid w:val="00505904"/>
    <w:rsid w:val="00506428"/>
    <w:rsid w:val="0051355E"/>
    <w:rsid w:val="005145F6"/>
    <w:rsid w:val="00514E2D"/>
    <w:rsid w:val="0052145B"/>
    <w:rsid w:val="00522604"/>
    <w:rsid w:val="005350CF"/>
    <w:rsid w:val="00550949"/>
    <w:rsid w:val="00551385"/>
    <w:rsid w:val="005608B6"/>
    <w:rsid w:val="00563D57"/>
    <w:rsid w:val="00564584"/>
    <w:rsid w:val="00572DA3"/>
    <w:rsid w:val="00577B5E"/>
    <w:rsid w:val="00581E3B"/>
    <w:rsid w:val="00590C0D"/>
    <w:rsid w:val="00595E45"/>
    <w:rsid w:val="005A7669"/>
    <w:rsid w:val="005B0AD0"/>
    <w:rsid w:val="005B1891"/>
    <w:rsid w:val="005B2393"/>
    <w:rsid w:val="005C3047"/>
    <w:rsid w:val="005C4E0F"/>
    <w:rsid w:val="005D092D"/>
    <w:rsid w:val="005D5204"/>
    <w:rsid w:val="005E42E3"/>
    <w:rsid w:val="005F4A14"/>
    <w:rsid w:val="00602372"/>
    <w:rsid w:val="00604FD3"/>
    <w:rsid w:val="00611308"/>
    <w:rsid w:val="006116E7"/>
    <w:rsid w:val="0062263B"/>
    <w:rsid w:val="00622749"/>
    <w:rsid w:val="006271DE"/>
    <w:rsid w:val="006311BF"/>
    <w:rsid w:val="006461BE"/>
    <w:rsid w:val="00646632"/>
    <w:rsid w:val="0065071F"/>
    <w:rsid w:val="00652654"/>
    <w:rsid w:val="0066005A"/>
    <w:rsid w:val="00660EF5"/>
    <w:rsid w:val="00661F4B"/>
    <w:rsid w:val="00663A44"/>
    <w:rsid w:val="00665D06"/>
    <w:rsid w:val="006732A1"/>
    <w:rsid w:val="00675335"/>
    <w:rsid w:val="00681D98"/>
    <w:rsid w:val="00685796"/>
    <w:rsid w:val="00691DBE"/>
    <w:rsid w:val="00697C8B"/>
    <w:rsid w:val="006A4A54"/>
    <w:rsid w:val="006A50BC"/>
    <w:rsid w:val="006A7A3F"/>
    <w:rsid w:val="006B275C"/>
    <w:rsid w:val="006B64F6"/>
    <w:rsid w:val="006C14F9"/>
    <w:rsid w:val="006D1133"/>
    <w:rsid w:val="006D1CBA"/>
    <w:rsid w:val="006D2ADC"/>
    <w:rsid w:val="006D7F48"/>
    <w:rsid w:val="006F596A"/>
    <w:rsid w:val="006F7911"/>
    <w:rsid w:val="006F7E22"/>
    <w:rsid w:val="00702B0E"/>
    <w:rsid w:val="00706DDD"/>
    <w:rsid w:val="0071654F"/>
    <w:rsid w:val="007230BF"/>
    <w:rsid w:val="00730050"/>
    <w:rsid w:val="00731A66"/>
    <w:rsid w:val="00743EC9"/>
    <w:rsid w:val="00746736"/>
    <w:rsid w:val="00782EFF"/>
    <w:rsid w:val="00787175"/>
    <w:rsid w:val="00790C4E"/>
    <w:rsid w:val="007A654A"/>
    <w:rsid w:val="007C612A"/>
    <w:rsid w:val="007D3C50"/>
    <w:rsid w:val="007E2836"/>
    <w:rsid w:val="007E714B"/>
    <w:rsid w:val="007F5207"/>
    <w:rsid w:val="0080144D"/>
    <w:rsid w:val="00813F8C"/>
    <w:rsid w:val="00825039"/>
    <w:rsid w:val="008469FF"/>
    <w:rsid w:val="0084759F"/>
    <w:rsid w:val="0085711F"/>
    <w:rsid w:val="008627E3"/>
    <w:rsid w:val="00865A13"/>
    <w:rsid w:val="00870C9F"/>
    <w:rsid w:val="008820A8"/>
    <w:rsid w:val="00886974"/>
    <w:rsid w:val="008911C7"/>
    <w:rsid w:val="008928AC"/>
    <w:rsid w:val="00897FB6"/>
    <w:rsid w:val="008A75F6"/>
    <w:rsid w:val="008A780A"/>
    <w:rsid w:val="008B3DCA"/>
    <w:rsid w:val="008B42F4"/>
    <w:rsid w:val="008B77E3"/>
    <w:rsid w:val="008D5A0E"/>
    <w:rsid w:val="008D6DB9"/>
    <w:rsid w:val="008E629E"/>
    <w:rsid w:val="008F5B9F"/>
    <w:rsid w:val="00917401"/>
    <w:rsid w:val="00924EB1"/>
    <w:rsid w:val="00926437"/>
    <w:rsid w:val="009275BE"/>
    <w:rsid w:val="0094546A"/>
    <w:rsid w:val="00950B5F"/>
    <w:rsid w:val="00951B6B"/>
    <w:rsid w:val="009552B0"/>
    <w:rsid w:val="00955DD6"/>
    <w:rsid w:val="00956AF7"/>
    <w:rsid w:val="00957CB4"/>
    <w:rsid w:val="00961E3C"/>
    <w:rsid w:val="00967973"/>
    <w:rsid w:val="00972B1C"/>
    <w:rsid w:val="00974C50"/>
    <w:rsid w:val="00980C67"/>
    <w:rsid w:val="009851A7"/>
    <w:rsid w:val="009875E5"/>
    <w:rsid w:val="009969C4"/>
    <w:rsid w:val="00997F55"/>
    <w:rsid w:val="009A6471"/>
    <w:rsid w:val="009B14DE"/>
    <w:rsid w:val="009D75A1"/>
    <w:rsid w:val="009F129C"/>
    <w:rsid w:val="00A0107F"/>
    <w:rsid w:val="00A067CA"/>
    <w:rsid w:val="00A07902"/>
    <w:rsid w:val="00A1027B"/>
    <w:rsid w:val="00A1249B"/>
    <w:rsid w:val="00A15EC8"/>
    <w:rsid w:val="00A16F21"/>
    <w:rsid w:val="00A458F5"/>
    <w:rsid w:val="00A60669"/>
    <w:rsid w:val="00A64D21"/>
    <w:rsid w:val="00A64E8A"/>
    <w:rsid w:val="00A672A4"/>
    <w:rsid w:val="00A67955"/>
    <w:rsid w:val="00A71A1F"/>
    <w:rsid w:val="00A738B3"/>
    <w:rsid w:val="00A7778D"/>
    <w:rsid w:val="00A77B5C"/>
    <w:rsid w:val="00A84BE9"/>
    <w:rsid w:val="00A9227B"/>
    <w:rsid w:val="00A93C66"/>
    <w:rsid w:val="00AA7E3D"/>
    <w:rsid w:val="00AC2D02"/>
    <w:rsid w:val="00AC3387"/>
    <w:rsid w:val="00AD0690"/>
    <w:rsid w:val="00AD2C15"/>
    <w:rsid w:val="00AF0D41"/>
    <w:rsid w:val="00AF452F"/>
    <w:rsid w:val="00B030C1"/>
    <w:rsid w:val="00B05123"/>
    <w:rsid w:val="00B2471D"/>
    <w:rsid w:val="00B44BAC"/>
    <w:rsid w:val="00B51A34"/>
    <w:rsid w:val="00B52AB5"/>
    <w:rsid w:val="00B707F2"/>
    <w:rsid w:val="00B748CF"/>
    <w:rsid w:val="00B858F1"/>
    <w:rsid w:val="00B85945"/>
    <w:rsid w:val="00B866CB"/>
    <w:rsid w:val="00B9629E"/>
    <w:rsid w:val="00BC3B9E"/>
    <w:rsid w:val="00BC7424"/>
    <w:rsid w:val="00BD7ED4"/>
    <w:rsid w:val="00C02B48"/>
    <w:rsid w:val="00C03EA2"/>
    <w:rsid w:val="00C04621"/>
    <w:rsid w:val="00C12333"/>
    <w:rsid w:val="00C123AE"/>
    <w:rsid w:val="00C136C2"/>
    <w:rsid w:val="00C15970"/>
    <w:rsid w:val="00C21C56"/>
    <w:rsid w:val="00C24BA6"/>
    <w:rsid w:val="00C31AA0"/>
    <w:rsid w:val="00C32B9A"/>
    <w:rsid w:val="00C41E41"/>
    <w:rsid w:val="00C45082"/>
    <w:rsid w:val="00C51C3A"/>
    <w:rsid w:val="00C523DE"/>
    <w:rsid w:val="00C719A9"/>
    <w:rsid w:val="00C72C9C"/>
    <w:rsid w:val="00C7769C"/>
    <w:rsid w:val="00C91CD6"/>
    <w:rsid w:val="00C94588"/>
    <w:rsid w:val="00CA62EA"/>
    <w:rsid w:val="00CA6387"/>
    <w:rsid w:val="00CA77A8"/>
    <w:rsid w:val="00CB1976"/>
    <w:rsid w:val="00CB23D4"/>
    <w:rsid w:val="00CB5228"/>
    <w:rsid w:val="00CC0B92"/>
    <w:rsid w:val="00CC19BD"/>
    <w:rsid w:val="00CC5366"/>
    <w:rsid w:val="00CC7EE4"/>
    <w:rsid w:val="00CD152D"/>
    <w:rsid w:val="00CD4E63"/>
    <w:rsid w:val="00CE3815"/>
    <w:rsid w:val="00CF0BB6"/>
    <w:rsid w:val="00CF314A"/>
    <w:rsid w:val="00D017D0"/>
    <w:rsid w:val="00D046D0"/>
    <w:rsid w:val="00D158A1"/>
    <w:rsid w:val="00D30D02"/>
    <w:rsid w:val="00D35118"/>
    <w:rsid w:val="00D37980"/>
    <w:rsid w:val="00D40074"/>
    <w:rsid w:val="00D41C90"/>
    <w:rsid w:val="00D436F0"/>
    <w:rsid w:val="00D44ACB"/>
    <w:rsid w:val="00D45B5C"/>
    <w:rsid w:val="00D45B5F"/>
    <w:rsid w:val="00D5121D"/>
    <w:rsid w:val="00D54E5B"/>
    <w:rsid w:val="00D576C5"/>
    <w:rsid w:val="00D5774E"/>
    <w:rsid w:val="00D57DD7"/>
    <w:rsid w:val="00D621DF"/>
    <w:rsid w:val="00D73F7C"/>
    <w:rsid w:val="00D746D1"/>
    <w:rsid w:val="00D95180"/>
    <w:rsid w:val="00D97DFB"/>
    <w:rsid w:val="00DA16C2"/>
    <w:rsid w:val="00DA388C"/>
    <w:rsid w:val="00DA3FB7"/>
    <w:rsid w:val="00DB0A45"/>
    <w:rsid w:val="00DC6B92"/>
    <w:rsid w:val="00DD7071"/>
    <w:rsid w:val="00DE2CB2"/>
    <w:rsid w:val="00DE34A8"/>
    <w:rsid w:val="00DE38A1"/>
    <w:rsid w:val="00DE7A14"/>
    <w:rsid w:val="00E00EFC"/>
    <w:rsid w:val="00E05D5F"/>
    <w:rsid w:val="00E05F9D"/>
    <w:rsid w:val="00E065DB"/>
    <w:rsid w:val="00E132C9"/>
    <w:rsid w:val="00E138A5"/>
    <w:rsid w:val="00E32A3B"/>
    <w:rsid w:val="00E358E4"/>
    <w:rsid w:val="00E42139"/>
    <w:rsid w:val="00E46503"/>
    <w:rsid w:val="00E606FF"/>
    <w:rsid w:val="00E6360C"/>
    <w:rsid w:val="00E72CF0"/>
    <w:rsid w:val="00E74E81"/>
    <w:rsid w:val="00E75EB3"/>
    <w:rsid w:val="00E81628"/>
    <w:rsid w:val="00E82722"/>
    <w:rsid w:val="00E922CC"/>
    <w:rsid w:val="00E9695B"/>
    <w:rsid w:val="00EA2863"/>
    <w:rsid w:val="00EA42D3"/>
    <w:rsid w:val="00EA6389"/>
    <w:rsid w:val="00EA75B6"/>
    <w:rsid w:val="00EB1EA7"/>
    <w:rsid w:val="00EB4677"/>
    <w:rsid w:val="00EB6EE0"/>
    <w:rsid w:val="00EC0B51"/>
    <w:rsid w:val="00ED0023"/>
    <w:rsid w:val="00EE04B4"/>
    <w:rsid w:val="00EE3483"/>
    <w:rsid w:val="00EE4C2E"/>
    <w:rsid w:val="00EE6E9D"/>
    <w:rsid w:val="00EF123D"/>
    <w:rsid w:val="00EF6B8D"/>
    <w:rsid w:val="00F01F55"/>
    <w:rsid w:val="00F02C9D"/>
    <w:rsid w:val="00F05A78"/>
    <w:rsid w:val="00F075F8"/>
    <w:rsid w:val="00F155F9"/>
    <w:rsid w:val="00F20D90"/>
    <w:rsid w:val="00F23F4F"/>
    <w:rsid w:val="00F2476A"/>
    <w:rsid w:val="00F30252"/>
    <w:rsid w:val="00F354DC"/>
    <w:rsid w:val="00F42673"/>
    <w:rsid w:val="00F6157A"/>
    <w:rsid w:val="00F61EB9"/>
    <w:rsid w:val="00F62DDA"/>
    <w:rsid w:val="00F671F7"/>
    <w:rsid w:val="00F6734F"/>
    <w:rsid w:val="00F907B0"/>
    <w:rsid w:val="00F928BA"/>
    <w:rsid w:val="00F9513C"/>
    <w:rsid w:val="00F9553C"/>
    <w:rsid w:val="00FA453E"/>
    <w:rsid w:val="00FA51AD"/>
    <w:rsid w:val="00FB3150"/>
    <w:rsid w:val="00FC1476"/>
    <w:rsid w:val="00FC689C"/>
    <w:rsid w:val="00FC8560"/>
    <w:rsid w:val="00FE2BC5"/>
    <w:rsid w:val="00FF170F"/>
    <w:rsid w:val="00FF58CB"/>
    <w:rsid w:val="03A62F5A"/>
    <w:rsid w:val="048382ED"/>
    <w:rsid w:val="04C75B05"/>
    <w:rsid w:val="04D5D0E3"/>
    <w:rsid w:val="05BCEEFA"/>
    <w:rsid w:val="071C36D5"/>
    <w:rsid w:val="072236F2"/>
    <w:rsid w:val="07A40C37"/>
    <w:rsid w:val="095172FC"/>
    <w:rsid w:val="0A1B2A93"/>
    <w:rsid w:val="0AC3D08A"/>
    <w:rsid w:val="0C95911F"/>
    <w:rsid w:val="0EB9EFAD"/>
    <w:rsid w:val="0F6F763D"/>
    <w:rsid w:val="10290E70"/>
    <w:rsid w:val="13845DC5"/>
    <w:rsid w:val="1465E67B"/>
    <w:rsid w:val="14B1D376"/>
    <w:rsid w:val="166709E1"/>
    <w:rsid w:val="172A04C4"/>
    <w:rsid w:val="18BC50FE"/>
    <w:rsid w:val="18DC3CE4"/>
    <w:rsid w:val="18FD79E4"/>
    <w:rsid w:val="196E9EFA"/>
    <w:rsid w:val="197059F4"/>
    <w:rsid w:val="1A6B94AE"/>
    <w:rsid w:val="1B1F7E5E"/>
    <w:rsid w:val="1B34FD17"/>
    <w:rsid w:val="1BA6815F"/>
    <w:rsid w:val="1CE4D628"/>
    <w:rsid w:val="1E1E89F9"/>
    <w:rsid w:val="1F2EF02A"/>
    <w:rsid w:val="1FEF2587"/>
    <w:rsid w:val="2120734C"/>
    <w:rsid w:val="22213107"/>
    <w:rsid w:val="2221C87F"/>
    <w:rsid w:val="22B1A635"/>
    <w:rsid w:val="22F29152"/>
    <w:rsid w:val="230B4DCB"/>
    <w:rsid w:val="235F9DBD"/>
    <w:rsid w:val="23D1D913"/>
    <w:rsid w:val="24BD0C3C"/>
    <w:rsid w:val="24FA41F3"/>
    <w:rsid w:val="25BD042C"/>
    <w:rsid w:val="26453EAE"/>
    <w:rsid w:val="28158C65"/>
    <w:rsid w:val="28503BC1"/>
    <w:rsid w:val="29CCC3C5"/>
    <w:rsid w:val="2C954E07"/>
    <w:rsid w:val="2D1B3974"/>
    <w:rsid w:val="2D50EF0E"/>
    <w:rsid w:val="2D81E005"/>
    <w:rsid w:val="2DA56454"/>
    <w:rsid w:val="2F14EC4F"/>
    <w:rsid w:val="2F8B8836"/>
    <w:rsid w:val="2FCD6527"/>
    <w:rsid w:val="3061EFC9"/>
    <w:rsid w:val="314FB0F9"/>
    <w:rsid w:val="31C32D13"/>
    <w:rsid w:val="326E8DCA"/>
    <w:rsid w:val="32E1C505"/>
    <w:rsid w:val="330139DB"/>
    <w:rsid w:val="330C425F"/>
    <w:rsid w:val="344AD10D"/>
    <w:rsid w:val="3567277E"/>
    <w:rsid w:val="35D43EF4"/>
    <w:rsid w:val="3890CC49"/>
    <w:rsid w:val="39CC86F2"/>
    <w:rsid w:val="3A6E8A9E"/>
    <w:rsid w:val="3B0C1332"/>
    <w:rsid w:val="3BFC2177"/>
    <w:rsid w:val="3D188AB7"/>
    <w:rsid w:val="3D5D5E7D"/>
    <w:rsid w:val="3EF5F1E1"/>
    <w:rsid w:val="3EF92EDE"/>
    <w:rsid w:val="3F38D80A"/>
    <w:rsid w:val="3FE7EC68"/>
    <w:rsid w:val="412C9C91"/>
    <w:rsid w:val="43021F57"/>
    <w:rsid w:val="4328AAA9"/>
    <w:rsid w:val="432C9BC1"/>
    <w:rsid w:val="439890C2"/>
    <w:rsid w:val="4596EB27"/>
    <w:rsid w:val="45B66548"/>
    <w:rsid w:val="47832894"/>
    <w:rsid w:val="47D00589"/>
    <w:rsid w:val="494D3179"/>
    <w:rsid w:val="49A7E63B"/>
    <w:rsid w:val="4ACF771F"/>
    <w:rsid w:val="4B2F46AC"/>
    <w:rsid w:val="4B3F9A63"/>
    <w:rsid w:val="4BF47108"/>
    <w:rsid w:val="4C2794A0"/>
    <w:rsid w:val="4FA16643"/>
    <w:rsid w:val="513F389E"/>
    <w:rsid w:val="520FD1DE"/>
    <w:rsid w:val="528485D5"/>
    <w:rsid w:val="532EDA06"/>
    <w:rsid w:val="54E38711"/>
    <w:rsid w:val="54F5A15C"/>
    <w:rsid w:val="554A9820"/>
    <w:rsid w:val="55CE61C7"/>
    <w:rsid w:val="56848852"/>
    <w:rsid w:val="5826E45A"/>
    <w:rsid w:val="592178E4"/>
    <w:rsid w:val="5960F16F"/>
    <w:rsid w:val="59CF139C"/>
    <w:rsid w:val="5AA119D7"/>
    <w:rsid w:val="5B44292D"/>
    <w:rsid w:val="5C21B3F0"/>
    <w:rsid w:val="5C3F83D3"/>
    <w:rsid w:val="5C7CC6DE"/>
    <w:rsid w:val="5E2ACC3E"/>
    <w:rsid w:val="5E712F28"/>
    <w:rsid w:val="5EB338FF"/>
    <w:rsid w:val="61DE1131"/>
    <w:rsid w:val="64D9B16E"/>
    <w:rsid w:val="65393D95"/>
    <w:rsid w:val="653C7823"/>
    <w:rsid w:val="66B4C921"/>
    <w:rsid w:val="66B5A413"/>
    <w:rsid w:val="66DBDB63"/>
    <w:rsid w:val="675FD882"/>
    <w:rsid w:val="676F1B1B"/>
    <w:rsid w:val="680BD663"/>
    <w:rsid w:val="68131073"/>
    <w:rsid w:val="685AF088"/>
    <w:rsid w:val="68768CD7"/>
    <w:rsid w:val="69877714"/>
    <w:rsid w:val="6A7B61F3"/>
    <w:rsid w:val="6C9C51AD"/>
    <w:rsid w:val="6CBE3FA5"/>
    <w:rsid w:val="6D88A77C"/>
    <w:rsid w:val="6EB7EF2C"/>
    <w:rsid w:val="6EF354B1"/>
    <w:rsid w:val="71A0CA5C"/>
    <w:rsid w:val="71BBE235"/>
    <w:rsid w:val="72496B97"/>
    <w:rsid w:val="726DC908"/>
    <w:rsid w:val="72A7ACA3"/>
    <w:rsid w:val="72B1CDC2"/>
    <w:rsid w:val="7337C265"/>
    <w:rsid w:val="73A25935"/>
    <w:rsid w:val="73DB42D7"/>
    <w:rsid w:val="7407AFA9"/>
    <w:rsid w:val="74916622"/>
    <w:rsid w:val="74FC3350"/>
    <w:rsid w:val="759A6615"/>
    <w:rsid w:val="7615B8AD"/>
    <w:rsid w:val="7639C9F7"/>
    <w:rsid w:val="770F69C4"/>
    <w:rsid w:val="779E4677"/>
    <w:rsid w:val="78256A1D"/>
    <w:rsid w:val="7A276E6C"/>
    <w:rsid w:val="7A9FC6CE"/>
    <w:rsid w:val="7AA4398A"/>
    <w:rsid w:val="7B246C4F"/>
    <w:rsid w:val="7CD4795B"/>
    <w:rsid w:val="7CF60A0A"/>
    <w:rsid w:val="7D7287E4"/>
    <w:rsid w:val="7E2F9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418DC"/>
  <w15:docId w15:val="{43CD54BB-3064-468B-A283-AA031F56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B858F1"/>
    <w:pPr>
      <w:keepNext/>
      <w:keepLines/>
      <w:spacing w:before="320" w:after="240"/>
      <w:outlineLvl w:val="0"/>
    </w:pPr>
    <w:rPr>
      <w:rFonts w:ascii="Playfair Display" w:eastAsiaTheme="majorEastAsia" w:hAnsi="Playfair Display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EA2863"/>
    <w:pPr>
      <w:keepNext/>
      <w:keepLines/>
      <w:spacing w:before="360" w:after="120" w:line="240" w:lineRule="auto"/>
      <w:jc w:val="both"/>
      <w:outlineLvl w:val="1"/>
    </w:pPr>
    <w:rPr>
      <w:rFonts w:ascii="Playfair Display" w:eastAsiaTheme="majorEastAsia" w:hAnsi="Playfair Display" w:cstheme="majorBidi"/>
      <w:b/>
      <w:sz w:val="24"/>
      <w:szCs w:val="24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E75EB3"/>
    <w:pPr>
      <w:keepNext/>
      <w:keepLines/>
      <w:spacing w:before="80" w:after="240"/>
      <w:jc w:val="both"/>
      <w:outlineLvl w:val="2"/>
    </w:pPr>
    <w:rPr>
      <w:rFonts w:ascii="Playfair Display" w:eastAsiaTheme="majorEastAsia" w:hAnsi="Playfair Display" w:cstheme="majorBidi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85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56A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856A2"/>
    <w:pPr>
      <w:ind w:left="720"/>
      <w:contextualSpacing/>
    </w:pPr>
  </w:style>
  <w:style w:type="table" w:styleId="Rcsostblzat">
    <w:name w:val="Table Grid"/>
    <w:basedOn w:val="Normltblzat"/>
    <w:uiPriority w:val="39"/>
    <w:rsid w:val="0065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l"/>
    <w:rsid w:val="00E9695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D0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690"/>
  </w:style>
  <w:style w:type="paragraph" w:styleId="llb">
    <w:name w:val="footer"/>
    <w:basedOn w:val="Norml"/>
    <w:link w:val="llbChar"/>
    <w:uiPriority w:val="99"/>
    <w:unhideWhenUsed/>
    <w:rsid w:val="00AD0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690"/>
  </w:style>
  <w:style w:type="character" w:styleId="Jegyzethivatkozs">
    <w:name w:val="annotation reference"/>
    <w:basedOn w:val="Bekezdsalapbettpusa"/>
    <w:uiPriority w:val="99"/>
    <w:semiHidden/>
    <w:unhideWhenUsed/>
    <w:rsid w:val="00E32A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32A3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32A3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2A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2A3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32A3B"/>
    <w:pPr>
      <w:spacing w:after="0" w:line="240" w:lineRule="auto"/>
    </w:pPr>
  </w:style>
  <w:style w:type="paragraph" w:customStyle="1" w:styleId="Standard">
    <w:name w:val="Standard"/>
    <w:qFormat/>
    <w:rsid w:val="0010708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Cmsor1Char">
    <w:name w:val="Címsor 1 Char"/>
    <w:basedOn w:val="Bekezdsalapbettpusa"/>
    <w:link w:val="Cmsor1"/>
    <w:uiPriority w:val="9"/>
    <w:rsid w:val="00B858F1"/>
    <w:rPr>
      <w:rFonts w:ascii="Playfair Display" w:eastAsiaTheme="majorEastAsia" w:hAnsi="Playfair Display" w:cstheme="majorBidi"/>
      <w:b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A2863"/>
    <w:rPr>
      <w:rFonts w:ascii="Playfair Display" w:eastAsiaTheme="majorEastAsia" w:hAnsi="Playfair Display" w:cstheme="majorBidi"/>
      <w:b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E75EB3"/>
    <w:rPr>
      <w:rFonts w:ascii="Playfair Display" w:eastAsiaTheme="majorEastAsia" w:hAnsi="Playfair Display" w:cstheme="majorBidi"/>
      <w:b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B753C"/>
    <w:pPr>
      <w:spacing w:line="259" w:lineRule="auto"/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1B753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1B753C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1B753C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1B753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A34CB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semiHidden/>
    <w:unhideWhenUsed/>
    <w:rsid w:val="00743EC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43EC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43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2.mab.h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78416-F601-43B8-8AF6-B4A95F82107B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2.xml><?xml version="1.0" encoding="utf-8"?>
<ds:datastoreItem xmlns:ds="http://schemas.openxmlformats.org/officeDocument/2006/customXml" ds:itemID="{75DA9BD4-8B29-4288-A8FD-6D0F0B5B91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6BD55D-D9A9-4D3B-9E7A-D43D298732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A3E348-720C-48BF-B79D-45A62F4E6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30</Pages>
  <Words>4703</Words>
  <Characters>32451</Characters>
  <Application>Microsoft Office Word</Application>
  <DocSecurity>0</DocSecurity>
  <Lines>270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Dányi Beatrix</cp:lastModifiedBy>
  <cp:revision>150</cp:revision>
  <cp:lastPrinted>2020-12-01T12:19:00Z</cp:lastPrinted>
  <dcterms:created xsi:type="dcterms:W3CDTF">2021-11-12T12:44:00Z</dcterms:created>
  <dcterms:modified xsi:type="dcterms:W3CDTF">2025-01-28T09:16:00Z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