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4CDB" w14:textId="77777777" w:rsidR="00702946" w:rsidRDefault="00774E01" w:rsidP="00774E01">
      <w:pPr>
        <w:jc w:val="center"/>
        <w:rPr>
          <w:rFonts w:ascii="Playfair Display" w:hAnsi="Playfair Display"/>
          <w:b/>
          <w:sz w:val="20"/>
        </w:rPr>
      </w:pPr>
      <w:r>
        <w:rPr>
          <w:rFonts w:ascii="Playfair Display" w:hAnsi="Playfair Display"/>
          <w:b/>
          <w:sz w:val="20"/>
        </w:rPr>
        <w:t>Útmutató s</w:t>
      </w:r>
      <w:r w:rsidRPr="00774E01">
        <w:rPr>
          <w:rFonts w:ascii="Playfair Display" w:hAnsi="Playfair Display"/>
          <w:b/>
          <w:sz w:val="20"/>
        </w:rPr>
        <w:t>zaklétesítés és szakindít</w:t>
      </w:r>
      <w:r>
        <w:rPr>
          <w:rFonts w:ascii="Playfair Display" w:hAnsi="Playfair Display"/>
          <w:b/>
          <w:sz w:val="20"/>
        </w:rPr>
        <w:t>ási beadvány egyidejű értékeléséhez</w:t>
      </w:r>
    </w:p>
    <w:p w14:paraId="20E34CDC" w14:textId="77777777" w:rsidR="00774E01" w:rsidRPr="00774E01" w:rsidRDefault="00774E01" w:rsidP="00774E01">
      <w:pPr>
        <w:jc w:val="both"/>
        <w:rPr>
          <w:rFonts w:ascii="Playfair Display" w:hAnsi="Playfair Display"/>
          <w:sz w:val="20"/>
          <w:u w:val="single"/>
        </w:rPr>
      </w:pPr>
      <w:r w:rsidRPr="00774E01">
        <w:rPr>
          <w:rFonts w:ascii="Playfair Display" w:hAnsi="Playfair Display"/>
          <w:sz w:val="20"/>
          <w:u w:val="single"/>
        </w:rPr>
        <w:t>Jogszabályi háttér:</w:t>
      </w:r>
    </w:p>
    <w:p w14:paraId="20E34CDD" w14:textId="58DE8B02" w:rsidR="00774E01" w:rsidRPr="00774E01" w:rsidRDefault="00774E01" w:rsidP="00774E01">
      <w:pPr>
        <w:jc w:val="both"/>
        <w:rPr>
          <w:rFonts w:ascii="Playfair Display" w:hAnsi="Playfair Display"/>
          <w:sz w:val="20"/>
        </w:rPr>
      </w:pPr>
      <w:r w:rsidRPr="00774E01">
        <w:rPr>
          <w:rFonts w:ascii="Playfair Display" w:hAnsi="Playfair Display"/>
          <w:sz w:val="20"/>
        </w:rPr>
        <w:t xml:space="preserve">A jelenleg hatályos </w:t>
      </w:r>
      <w:r w:rsidR="0071720A" w:rsidRPr="0071720A">
        <w:rPr>
          <w:rFonts w:ascii="Playfair Display" w:hAnsi="Playfair Display"/>
          <w:sz w:val="20"/>
        </w:rPr>
        <w:t>65/2021. (XII. 29.) ITM rendelet</w:t>
      </w:r>
      <w:r w:rsidR="0071720A" w:rsidRPr="0071720A">
        <w:rPr>
          <w:rStyle w:val="Lbjegyzet-hivatkozs"/>
          <w:rFonts w:ascii="Playfair Display" w:hAnsi="Playfair Display"/>
          <w:sz w:val="20"/>
          <w:vertAlign w:val="baseline"/>
        </w:rPr>
        <w:t xml:space="preserve"> </w:t>
      </w:r>
      <w:r>
        <w:rPr>
          <w:rStyle w:val="Lbjegyzet-hivatkozs"/>
          <w:rFonts w:ascii="Playfair Display" w:hAnsi="Playfair Display"/>
          <w:sz w:val="20"/>
        </w:rPr>
        <w:footnoteReference w:id="1"/>
      </w:r>
      <w:r w:rsidRPr="00774E01">
        <w:rPr>
          <w:rFonts w:ascii="Playfair Display" w:hAnsi="Playfair Display"/>
          <w:sz w:val="20"/>
        </w:rPr>
        <w:t xml:space="preserve"> szerint: </w:t>
      </w:r>
    </w:p>
    <w:p w14:paraId="20E34CDE" w14:textId="32C8D828" w:rsidR="00774E01" w:rsidRPr="00774E01" w:rsidRDefault="00B11091" w:rsidP="00774E01">
      <w:pPr>
        <w:jc w:val="both"/>
        <w:rPr>
          <w:rFonts w:ascii="Playfair Display" w:hAnsi="Playfair Display"/>
          <w:sz w:val="20"/>
        </w:rPr>
      </w:pPr>
      <w:r>
        <w:rPr>
          <w:rFonts w:ascii="Playfair Display" w:hAnsi="Playfair Display"/>
          <w:sz w:val="20"/>
        </w:rPr>
        <w:t>5</w:t>
      </w:r>
      <w:r w:rsidR="00774E01" w:rsidRPr="00774E01">
        <w:rPr>
          <w:rFonts w:ascii="Playfair Display" w:hAnsi="Playfair Display"/>
          <w:sz w:val="20"/>
        </w:rPr>
        <w:t>. § (1) A Magyar Felsőoktatási Akkreditációs Bizottság véleményt nyilvánít arról, hogy</w:t>
      </w:r>
    </w:p>
    <w:p w14:paraId="20E34CDF" w14:textId="77777777" w:rsidR="00774E01" w:rsidRPr="00774E01" w:rsidRDefault="00774E01" w:rsidP="00774E01">
      <w:pPr>
        <w:jc w:val="both"/>
        <w:rPr>
          <w:rFonts w:ascii="Playfair Display" w:hAnsi="Playfair Display"/>
          <w:sz w:val="20"/>
        </w:rPr>
      </w:pPr>
      <w:r w:rsidRPr="00774E01">
        <w:rPr>
          <w:rFonts w:ascii="Playfair Display" w:hAnsi="Playfair Display"/>
          <w:sz w:val="20"/>
        </w:rPr>
        <w:t>a) a létesítési dokumentum szakmai véleményeire is figyelemmel, indokolt-e a szak létesítése,</w:t>
      </w:r>
    </w:p>
    <w:p w14:paraId="20E34CE0" w14:textId="65EFA940" w:rsidR="00774E01" w:rsidRPr="00774E01" w:rsidRDefault="00774E01" w:rsidP="00774E01">
      <w:pPr>
        <w:jc w:val="both"/>
        <w:rPr>
          <w:rFonts w:ascii="Playfair Display" w:hAnsi="Playfair Display"/>
          <w:sz w:val="20"/>
        </w:rPr>
      </w:pPr>
      <w:r w:rsidRPr="00774E01">
        <w:rPr>
          <w:rFonts w:ascii="Playfair Display" w:hAnsi="Playfair Display"/>
          <w:sz w:val="20"/>
        </w:rPr>
        <w:t xml:space="preserve">b) </w:t>
      </w:r>
      <w:r w:rsidR="005F6FB7" w:rsidRPr="005F6FB7">
        <w:rPr>
          <w:rFonts w:ascii="Playfair Display" w:hAnsi="Playfair Display"/>
          <w:sz w:val="20"/>
        </w:rPr>
        <w:t>a képzési és kimeneti követelmény alapján, a szakon a szakképzettség megszerzésével szerezhető tudás követelményei - a tudás, a képesség, attitűd, illetve az autonómia és felelősség jellemzői - megfelelnek-e az MKKR adott besorolási szintjén meghatározott minimális követelményeknek, és ez alapján a szakra meghatározott képzési és kimeneti követelmények - az oklevelek hazai és külföldi megfeleltethetőségét is figyelembe véve - várhatóan megfelelő színvonalú kibocsátást biztosítanak-e</w:t>
      </w:r>
      <w:r w:rsidRPr="00774E01">
        <w:rPr>
          <w:rFonts w:ascii="Playfair Display" w:hAnsi="Playfair Display"/>
          <w:sz w:val="20"/>
        </w:rPr>
        <w:t>.</w:t>
      </w:r>
    </w:p>
    <w:p w14:paraId="20E34CE1" w14:textId="51D927D1" w:rsidR="00774E01" w:rsidRPr="008D64C3" w:rsidRDefault="00774E01" w:rsidP="00E64A14">
      <w:pPr>
        <w:jc w:val="both"/>
        <w:rPr>
          <w:rFonts w:ascii="Playfair Display" w:hAnsi="Playfair Display"/>
          <w:b/>
          <w:sz w:val="20"/>
        </w:rPr>
      </w:pPr>
      <w:r>
        <w:rPr>
          <w:rFonts w:ascii="Playfair Display" w:hAnsi="Playfair Display"/>
          <w:sz w:val="20"/>
        </w:rPr>
        <w:t>(</w:t>
      </w:r>
      <w:r w:rsidR="00E64A14">
        <w:rPr>
          <w:rFonts w:ascii="Playfair Display" w:hAnsi="Playfair Display"/>
          <w:sz w:val="20"/>
        </w:rPr>
        <w:t>2</w:t>
      </w:r>
      <w:r>
        <w:rPr>
          <w:rFonts w:ascii="Playfair Display" w:hAnsi="Playfair Display"/>
          <w:sz w:val="20"/>
        </w:rPr>
        <w:t xml:space="preserve">) </w:t>
      </w:r>
      <w:r w:rsidR="00E64A14" w:rsidRPr="00E64A14">
        <w:rPr>
          <w:rFonts w:ascii="Playfair Display" w:hAnsi="Playfair Display"/>
          <w:b/>
          <w:sz w:val="20"/>
        </w:rPr>
        <w:t xml:space="preserve">Az (1) bekezdésben foglaltakon túlmenően a felsőoktatási intézmény felkérésére a Magyar Felsőoktatási Akkreditációs Bizottság szakmai szempontrendszere alapján az </w:t>
      </w:r>
      <w:proofErr w:type="spellStart"/>
      <w:r w:rsidR="00E64A14" w:rsidRPr="00E64A14">
        <w:rPr>
          <w:rFonts w:ascii="Playfair Display" w:hAnsi="Playfair Display"/>
          <w:b/>
          <w:sz w:val="20"/>
        </w:rPr>
        <w:t>Nftv</w:t>
      </w:r>
      <w:proofErr w:type="spellEnd"/>
      <w:r w:rsidR="00E64A14" w:rsidRPr="00E64A14">
        <w:rPr>
          <w:rFonts w:ascii="Playfair Display" w:hAnsi="Playfair Display"/>
          <w:b/>
          <w:sz w:val="20"/>
        </w:rPr>
        <w:t>. 67. § (4) bekezdése szerinti szakvéleményt készít a felsőoktatási szakképzés, az alap- és mesterképzés indításának nyilvántartásba vételéhez a szak képzési és kimeneti követelményei alapján elkészített szakindítási dokumentumról véleményt nyilvánítva arról, hogy az adott képzés indításának feltételei</w:t>
      </w:r>
      <w:r w:rsidR="00E64A14">
        <w:rPr>
          <w:rFonts w:ascii="Playfair Display" w:hAnsi="Playfair Display"/>
          <w:b/>
          <w:sz w:val="20"/>
        </w:rPr>
        <w:t xml:space="preserve"> </w:t>
      </w:r>
      <w:r w:rsidR="00E64A14" w:rsidRPr="00E64A14">
        <w:rPr>
          <w:rFonts w:ascii="Playfair Display" w:hAnsi="Playfair Display"/>
          <w:b/>
          <w:sz w:val="20"/>
        </w:rPr>
        <w:t>fennállnak-e a felsőoktatási intézménynél.</w:t>
      </w:r>
      <w:r w:rsidR="00E64A14" w:rsidRPr="00E64A14">
        <w:rPr>
          <w:rFonts w:ascii="Playfair Display" w:hAnsi="Playfair Display"/>
          <w:b/>
          <w:sz w:val="20"/>
        </w:rPr>
        <w:cr/>
      </w:r>
    </w:p>
    <w:p w14:paraId="20E34CE2" w14:textId="77777777" w:rsidR="00774E01" w:rsidRDefault="00774E01" w:rsidP="00774E01">
      <w:pPr>
        <w:jc w:val="both"/>
        <w:rPr>
          <w:rFonts w:ascii="Playfair Display" w:hAnsi="Playfair Display"/>
          <w:sz w:val="20"/>
          <w:u w:val="single"/>
        </w:rPr>
      </w:pPr>
      <w:r w:rsidRPr="00774E01">
        <w:rPr>
          <w:rFonts w:ascii="Playfair Display" w:hAnsi="Playfair Display"/>
          <w:sz w:val="20"/>
          <w:u w:val="single"/>
        </w:rPr>
        <w:t>Eljárás:</w:t>
      </w:r>
    </w:p>
    <w:p w14:paraId="20E34CE3" w14:textId="77777777" w:rsidR="009D57FA" w:rsidRDefault="009D57FA" w:rsidP="009D57FA">
      <w:pPr>
        <w:jc w:val="both"/>
        <w:rPr>
          <w:rFonts w:ascii="Playfair Display" w:hAnsi="Playfair Display"/>
          <w:sz w:val="20"/>
        </w:rPr>
      </w:pPr>
      <w:r>
        <w:rPr>
          <w:rFonts w:ascii="Playfair Display" w:hAnsi="Playfair Display"/>
          <w:sz w:val="20"/>
        </w:rPr>
        <w:t xml:space="preserve">Az eljárás időtartama: </w:t>
      </w:r>
      <w:r w:rsidR="008D64C3">
        <w:rPr>
          <w:rFonts w:ascii="Playfair Display" w:hAnsi="Playfair Display"/>
          <w:sz w:val="20"/>
        </w:rPr>
        <w:t>legfeljebb</w:t>
      </w:r>
      <w:r w:rsidR="00262DC7">
        <w:rPr>
          <w:rFonts w:ascii="Playfair Display" w:hAnsi="Playfair Display"/>
          <w:sz w:val="20"/>
        </w:rPr>
        <w:t xml:space="preserve"> 60</w:t>
      </w:r>
      <w:r>
        <w:rPr>
          <w:rFonts w:ascii="Playfair Display" w:hAnsi="Playfair Display"/>
          <w:sz w:val="20"/>
        </w:rPr>
        <w:t xml:space="preserve"> nap. </w:t>
      </w:r>
    </w:p>
    <w:p w14:paraId="20E34CE4" w14:textId="77777777" w:rsidR="00774E01" w:rsidRDefault="00035B44" w:rsidP="00774E01">
      <w:pPr>
        <w:jc w:val="both"/>
        <w:rPr>
          <w:rFonts w:ascii="Playfair Display" w:hAnsi="Playfair Display"/>
          <w:sz w:val="20"/>
        </w:rPr>
      </w:pPr>
      <w:r w:rsidRPr="00035B44">
        <w:rPr>
          <w:rFonts w:ascii="Playfair Display" w:hAnsi="Playfair Display"/>
          <w:sz w:val="20"/>
        </w:rPr>
        <w:t xml:space="preserve">A szaklétesítés és a szakindítás </w:t>
      </w:r>
      <w:r>
        <w:rPr>
          <w:rFonts w:ascii="Playfair Display" w:hAnsi="Playfair Display"/>
          <w:sz w:val="20"/>
        </w:rPr>
        <w:t xml:space="preserve">egyidejű értékelésének feltétele, hogy a két dokumentumot egyszerre nyújtsa be a Magyar Felsőoktatási Akkreditációs Bizottsághoz (MAB) a szakértői véleményt kérő intézmény a rektori kísérőlevéllel együtt, a MAB honlapján elérhető szaklétesítési és a hozzá tartozó szakindítási útmutató szerint kitöltve. </w:t>
      </w:r>
    </w:p>
    <w:p w14:paraId="20E34CE5" w14:textId="77777777" w:rsidR="00035B44" w:rsidRPr="00035B44" w:rsidRDefault="00035B44" w:rsidP="00035B44">
      <w:pPr>
        <w:ind w:left="284"/>
        <w:jc w:val="both"/>
        <w:rPr>
          <w:rFonts w:ascii="Playfair Display" w:hAnsi="Playfair Display"/>
          <w:i/>
          <w:sz w:val="20"/>
        </w:rPr>
      </w:pPr>
      <w:r w:rsidRPr="00035B44">
        <w:rPr>
          <w:rFonts w:ascii="Playfair Display" w:hAnsi="Playfair Display"/>
          <w:i/>
          <w:sz w:val="20"/>
        </w:rPr>
        <w:t xml:space="preserve">Amennyiben a szakindításra vonatkozó szakértői véleményt kérő felkérés pár héttel később érkezik meg, mint a szaklétesítés, a szakindítási dokumentum összeállításánál a MAB honlapján elérhető – a képzési szintnek megfelelő – szakindítási útmutató (MAB 2016/8/III/5 számú és MAB 2016/8/III/5 számú határozatával elfogadott) szükséges összeállítani a szakindítási dokumentumot. </w:t>
      </w:r>
      <w:r>
        <w:rPr>
          <w:rFonts w:ascii="Playfair Display" w:hAnsi="Playfair Display"/>
          <w:i/>
          <w:sz w:val="20"/>
        </w:rPr>
        <w:t xml:space="preserve">Ebben az esetben a két eljárást külön kezeli a MAB. </w:t>
      </w:r>
    </w:p>
    <w:p w14:paraId="20E34CE6" w14:textId="77777777" w:rsidR="00035B44" w:rsidRDefault="00A0554F" w:rsidP="00774E01">
      <w:pPr>
        <w:jc w:val="both"/>
        <w:rPr>
          <w:rFonts w:ascii="Playfair Display" w:hAnsi="Playfair Display"/>
          <w:sz w:val="20"/>
        </w:rPr>
      </w:pPr>
      <w:r>
        <w:rPr>
          <w:rFonts w:ascii="Playfair Display" w:hAnsi="Playfair Display"/>
          <w:sz w:val="20"/>
        </w:rPr>
        <w:t xml:space="preserve">Ahhoz, hogy </w:t>
      </w:r>
      <w:r w:rsidRPr="00A0554F">
        <w:rPr>
          <w:rFonts w:ascii="Playfair Display" w:hAnsi="Playfair Display"/>
          <w:sz w:val="20"/>
        </w:rPr>
        <w:t>az eljárást el tudja indítani</w:t>
      </w:r>
      <w:r>
        <w:rPr>
          <w:rFonts w:ascii="Playfair Display" w:hAnsi="Playfair Display"/>
          <w:sz w:val="20"/>
        </w:rPr>
        <w:t xml:space="preserve"> a MAB</w:t>
      </w:r>
      <w:r w:rsidRPr="00A0554F">
        <w:rPr>
          <w:rFonts w:ascii="Playfair Display" w:hAnsi="Playfair Display"/>
          <w:sz w:val="20"/>
        </w:rPr>
        <w:t>, az útmutatóban meghatározott formai követelmények szerint összeállított papír alapú dokumentumoknak is be kell érkezniük a MAB Titkárság címére.</w:t>
      </w:r>
    </w:p>
    <w:p w14:paraId="20E34CE7" w14:textId="77777777" w:rsidR="00A0554F" w:rsidRDefault="00AC6303" w:rsidP="00774E01">
      <w:pPr>
        <w:jc w:val="both"/>
        <w:rPr>
          <w:rFonts w:ascii="Playfair Display" w:hAnsi="Playfair Display"/>
          <w:sz w:val="20"/>
        </w:rPr>
      </w:pPr>
      <w:r>
        <w:rPr>
          <w:rFonts w:ascii="Playfair Display" w:hAnsi="Playfair Display"/>
          <w:sz w:val="20"/>
        </w:rPr>
        <w:t xml:space="preserve">Az eljárás </w:t>
      </w:r>
      <w:r w:rsidR="00A0554F">
        <w:rPr>
          <w:rFonts w:ascii="Playfair Display" w:hAnsi="Playfair Display"/>
          <w:sz w:val="20"/>
        </w:rPr>
        <w:t xml:space="preserve">indítását követő 10 napon belül a MAB Szakos munkacsoportjának érintett referense elvégzi a formai ellenőrzést. Amennyiben formai hiányosságot állapít meg, formai hiánypótlásra hívja fel az intézményt. Az intézménynek </w:t>
      </w:r>
      <w:r w:rsidR="008D64C3">
        <w:rPr>
          <w:rFonts w:ascii="Playfair Display" w:hAnsi="Playfair Display"/>
          <w:sz w:val="20"/>
        </w:rPr>
        <w:t>14 napon belül</w:t>
      </w:r>
      <w:r w:rsidR="00A0554F">
        <w:rPr>
          <w:rFonts w:ascii="Playfair Display" w:hAnsi="Playfair Display"/>
          <w:sz w:val="20"/>
        </w:rPr>
        <w:t xml:space="preserve"> kell teljesítenie a hiánypótlás</w:t>
      </w:r>
      <w:r w:rsidR="008D64C3">
        <w:rPr>
          <w:rFonts w:ascii="Playfair Display" w:hAnsi="Playfair Display"/>
          <w:sz w:val="20"/>
        </w:rPr>
        <w:t>ban foglaltakat</w:t>
      </w:r>
      <w:r w:rsidR="00A0554F">
        <w:rPr>
          <w:rFonts w:ascii="Playfair Display" w:hAnsi="Playfair Display"/>
          <w:sz w:val="20"/>
        </w:rPr>
        <w:t>. A formai h</w:t>
      </w:r>
      <w:r w:rsidR="00262DC7">
        <w:rPr>
          <w:rFonts w:ascii="Playfair Display" w:hAnsi="Playfair Display"/>
          <w:sz w:val="20"/>
        </w:rPr>
        <w:t>iánypótlás alatt az eljárás szünetel. A</w:t>
      </w:r>
      <w:r w:rsidR="00A0554F">
        <w:rPr>
          <w:rFonts w:ascii="Playfair Display" w:hAnsi="Playfair Display"/>
          <w:sz w:val="20"/>
        </w:rPr>
        <w:t xml:space="preserve">mennyiben az intézmény nem teljesíti határidőre a kért hiányosságokat, az </w:t>
      </w:r>
      <w:r w:rsidR="008D64C3">
        <w:rPr>
          <w:rFonts w:ascii="Playfair Display" w:hAnsi="Playfair Display"/>
          <w:sz w:val="20"/>
        </w:rPr>
        <w:t>értékelést a</w:t>
      </w:r>
      <w:r w:rsidR="00A0554F">
        <w:rPr>
          <w:rFonts w:ascii="Playfair Display" w:hAnsi="Playfair Display"/>
          <w:sz w:val="20"/>
        </w:rPr>
        <w:t xml:space="preserve"> rendelkezésre álló dokumentumok alapján végzi el a MAB.  </w:t>
      </w:r>
    </w:p>
    <w:p w14:paraId="20E34CE8" w14:textId="77777777" w:rsidR="00B378BC" w:rsidRDefault="00A0554F" w:rsidP="00774E01">
      <w:pPr>
        <w:jc w:val="both"/>
        <w:rPr>
          <w:rFonts w:ascii="Playfair Display" w:hAnsi="Playfair Display"/>
          <w:sz w:val="20"/>
        </w:rPr>
      </w:pPr>
      <w:r>
        <w:rPr>
          <w:rFonts w:ascii="Playfair Display" w:hAnsi="Playfair Display"/>
          <w:sz w:val="20"/>
        </w:rPr>
        <w:t xml:space="preserve">Formai hiánypótlásra egyszer van lehetőség, a MAB felhívása alapján. A formai hiánypótlás </w:t>
      </w:r>
      <w:r w:rsidR="008D64C3">
        <w:rPr>
          <w:rFonts w:ascii="Playfair Display" w:hAnsi="Playfair Display"/>
          <w:sz w:val="20"/>
        </w:rPr>
        <w:t xml:space="preserve">teljesítése során a kérelmező </w:t>
      </w:r>
      <w:r>
        <w:rPr>
          <w:rFonts w:ascii="Playfair Display" w:hAnsi="Playfair Display"/>
          <w:sz w:val="20"/>
        </w:rPr>
        <w:t xml:space="preserve">a szakmai tartalmakat érintő kiegészítéseket is </w:t>
      </w:r>
      <w:r w:rsidR="008D64C3">
        <w:rPr>
          <w:rFonts w:ascii="Playfair Display" w:hAnsi="Playfair Display"/>
          <w:sz w:val="20"/>
        </w:rPr>
        <w:t>tesz</w:t>
      </w:r>
      <w:r>
        <w:rPr>
          <w:rFonts w:ascii="Playfair Display" w:hAnsi="Playfair Display"/>
          <w:sz w:val="20"/>
        </w:rPr>
        <w:t xml:space="preserve">, azokat az eljárás során a felkért szakértők (bírálók), a döntés-előkészítő bizottságok és a </w:t>
      </w:r>
      <w:r w:rsidR="00484CD5">
        <w:rPr>
          <w:rFonts w:ascii="Playfair Display" w:hAnsi="Playfair Display"/>
          <w:sz w:val="20"/>
        </w:rPr>
        <w:t>Testület figyelmen kívül hagyja.</w:t>
      </w:r>
      <w:r w:rsidR="008D64C3">
        <w:rPr>
          <w:rFonts w:ascii="Playfair Display" w:hAnsi="Playfair Display"/>
          <w:sz w:val="20"/>
        </w:rPr>
        <w:t xml:space="preserve"> Az eljárás</w:t>
      </w:r>
      <w:r>
        <w:rPr>
          <w:rFonts w:ascii="Playfair Display" w:hAnsi="Playfair Display"/>
          <w:sz w:val="20"/>
        </w:rPr>
        <w:t xml:space="preserve"> során a szaklétesítési és a szakindítási dokumentumhoz kiegészítő információt tartalmazó </w:t>
      </w:r>
      <w:r>
        <w:rPr>
          <w:rFonts w:ascii="Playfair Display" w:hAnsi="Playfair Display"/>
          <w:sz w:val="20"/>
        </w:rPr>
        <w:lastRenderedPageBreak/>
        <w:t>dokumentumok csatolására nincs lehetőség. A formai ellenőrzés nem érinti</w:t>
      </w:r>
      <w:r w:rsidR="00484CD5">
        <w:rPr>
          <w:rFonts w:ascii="Playfair Display" w:hAnsi="Playfair Display"/>
          <w:sz w:val="20"/>
        </w:rPr>
        <w:t xml:space="preserve"> a beadványok tartalmi részeinek ellenőrzését, megfelelőségének megítélését.</w:t>
      </w:r>
    </w:p>
    <w:p w14:paraId="20E34CE9" w14:textId="77777777" w:rsidR="00A0554F" w:rsidRDefault="00484CD5" w:rsidP="00774E01">
      <w:pPr>
        <w:jc w:val="both"/>
        <w:rPr>
          <w:rFonts w:ascii="Playfair Display" w:hAnsi="Playfair Display"/>
          <w:sz w:val="20"/>
          <w:u w:val="single"/>
        </w:rPr>
      </w:pPr>
      <w:r w:rsidRPr="00484CD5">
        <w:rPr>
          <w:rFonts w:ascii="Playfair Display" w:hAnsi="Playfair Display"/>
          <w:sz w:val="20"/>
          <w:u w:val="single"/>
        </w:rPr>
        <w:t xml:space="preserve">Döntés: </w:t>
      </w:r>
    </w:p>
    <w:p w14:paraId="20E34CEA" w14:textId="77777777" w:rsidR="00A0554F" w:rsidRDefault="00A51777" w:rsidP="00774E01">
      <w:pPr>
        <w:jc w:val="both"/>
        <w:rPr>
          <w:rFonts w:ascii="Playfair Display" w:hAnsi="Playfair Display"/>
          <w:sz w:val="20"/>
        </w:rPr>
      </w:pPr>
      <w:r w:rsidRPr="00A51777">
        <w:rPr>
          <w:rFonts w:ascii="Playfair Display" w:hAnsi="Playfair Display"/>
          <w:sz w:val="20"/>
        </w:rPr>
        <w:t>A szaklétesítés és a szakindítás egyidejű értékelés</w:t>
      </w:r>
      <w:r>
        <w:rPr>
          <w:rFonts w:ascii="Playfair Display" w:hAnsi="Playfair Display"/>
          <w:sz w:val="20"/>
        </w:rPr>
        <w:t>e során a MAB Testülete egy ül</w:t>
      </w:r>
      <w:r w:rsidR="008D64C3">
        <w:rPr>
          <w:rFonts w:ascii="Playfair Display" w:hAnsi="Playfair Display"/>
          <w:sz w:val="20"/>
        </w:rPr>
        <w:t>ésen dönt a két eljárásról, elő</w:t>
      </w:r>
      <w:r>
        <w:rPr>
          <w:rFonts w:ascii="Playfair Display" w:hAnsi="Playfair Display"/>
          <w:sz w:val="20"/>
        </w:rPr>
        <w:t xml:space="preserve">ször a létesítésről majd azt követően az indításról. </w:t>
      </w:r>
      <w:r w:rsidR="00D333C8">
        <w:rPr>
          <w:rFonts w:ascii="Playfair Display" w:hAnsi="Playfair Display"/>
          <w:sz w:val="20"/>
        </w:rPr>
        <w:t>Az eljárás támogató vagy nem támogató döntéssel (határozattal) zárul, megjegyzéses támogatásra az eljárás során nincs lehetőség.</w:t>
      </w:r>
    </w:p>
    <w:p w14:paraId="20E34CEB" w14:textId="77777777" w:rsidR="008D64C3" w:rsidRPr="008D64C3" w:rsidRDefault="00A51777" w:rsidP="008D64C3">
      <w:pPr>
        <w:pStyle w:val="Listaszerbekezds"/>
        <w:numPr>
          <w:ilvl w:val="0"/>
          <w:numId w:val="2"/>
        </w:numPr>
        <w:jc w:val="both"/>
        <w:rPr>
          <w:rFonts w:ascii="Playfair Display" w:hAnsi="Playfair Display"/>
          <w:sz w:val="20"/>
        </w:rPr>
      </w:pPr>
      <w:r w:rsidRPr="008D64C3">
        <w:rPr>
          <w:rFonts w:ascii="Playfair Display" w:hAnsi="Playfair Display"/>
          <w:sz w:val="20"/>
        </w:rPr>
        <w:t xml:space="preserve">Amennyiben a </w:t>
      </w:r>
      <w:r w:rsidR="009D57FA" w:rsidRPr="008D64C3">
        <w:rPr>
          <w:rFonts w:ascii="Playfair Display" w:hAnsi="Playfair Display"/>
          <w:sz w:val="20"/>
        </w:rPr>
        <w:t xml:space="preserve">MAB </w:t>
      </w:r>
      <w:r w:rsidRPr="008D64C3">
        <w:rPr>
          <w:rFonts w:ascii="Playfair Display" w:hAnsi="Playfair Display"/>
          <w:sz w:val="20"/>
        </w:rPr>
        <w:t>Testület</w:t>
      </w:r>
      <w:r w:rsidR="009D57FA" w:rsidRPr="008D64C3">
        <w:rPr>
          <w:rFonts w:ascii="Playfair Display" w:hAnsi="Playfair Display"/>
          <w:sz w:val="20"/>
        </w:rPr>
        <w:t>e</w:t>
      </w:r>
      <w:r w:rsidRPr="008D64C3">
        <w:rPr>
          <w:rFonts w:ascii="Playfair Display" w:hAnsi="Playfair Display"/>
          <w:sz w:val="20"/>
        </w:rPr>
        <w:t xml:space="preserve"> támogatja a szaklétesítést és a szakindítást, a határozatban megfogalmazott támogató </w:t>
      </w:r>
      <w:r w:rsidR="008D64C3" w:rsidRPr="008D64C3">
        <w:rPr>
          <w:rFonts w:ascii="Playfair Display" w:hAnsi="Playfair Display"/>
          <w:sz w:val="20"/>
        </w:rPr>
        <w:t>értékelésről szóló MAB Testületi határozat és annak indoklása</w:t>
      </w:r>
      <w:r w:rsidRPr="008D64C3">
        <w:rPr>
          <w:rFonts w:ascii="Playfair Display" w:hAnsi="Playfair Display"/>
          <w:sz w:val="20"/>
        </w:rPr>
        <w:t xml:space="preserve"> 12 hónapig érvényes. </w:t>
      </w:r>
    </w:p>
    <w:p w14:paraId="20E34CEC" w14:textId="77777777" w:rsidR="008D64C3" w:rsidRDefault="00A51777" w:rsidP="00A51777">
      <w:pPr>
        <w:pStyle w:val="Listaszerbekezds"/>
        <w:numPr>
          <w:ilvl w:val="0"/>
          <w:numId w:val="2"/>
        </w:numPr>
        <w:jc w:val="both"/>
        <w:rPr>
          <w:rFonts w:ascii="Playfair Display" w:hAnsi="Playfair Display"/>
          <w:sz w:val="20"/>
        </w:rPr>
      </w:pPr>
      <w:r w:rsidRPr="008D64C3">
        <w:rPr>
          <w:rFonts w:ascii="Playfair Display" w:hAnsi="Playfair Display"/>
          <w:sz w:val="20"/>
        </w:rPr>
        <w:t xml:space="preserve">Ha a felsőoktatási intézmény a döntést követő 12 hónapon belül nem kezdeményezi a nyilvántartásba vételt az Oktatási Hivatalnál, akkor a támogató döntés hatályát veszti, </w:t>
      </w:r>
      <w:r w:rsidR="009D57FA" w:rsidRPr="008D64C3">
        <w:rPr>
          <w:rFonts w:ascii="Playfair Display" w:hAnsi="Playfair Display"/>
          <w:sz w:val="20"/>
        </w:rPr>
        <w:t xml:space="preserve">a </w:t>
      </w:r>
      <w:r w:rsidRPr="008D64C3">
        <w:rPr>
          <w:rFonts w:ascii="Playfair Display" w:hAnsi="Playfair Display"/>
          <w:sz w:val="20"/>
        </w:rPr>
        <w:t xml:space="preserve">szakértői véleményt már az </w:t>
      </w:r>
      <w:proofErr w:type="spellStart"/>
      <w:r w:rsidRPr="008D64C3">
        <w:rPr>
          <w:rFonts w:ascii="Playfair Display" w:hAnsi="Playfair Display"/>
          <w:sz w:val="20"/>
        </w:rPr>
        <w:t>Nftv</w:t>
      </w:r>
      <w:proofErr w:type="spellEnd"/>
      <w:r w:rsidRPr="008D64C3">
        <w:rPr>
          <w:rFonts w:ascii="Playfair Display" w:hAnsi="Playfair Display"/>
          <w:sz w:val="20"/>
        </w:rPr>
        <w:t>. 67. § (4) bekezdése szerint a szak nyilvántartásba vétele során az Oktatás</w:t>
      </w:r>
      <w:r w:rsidR="00AC6303" w:rsidRPr="008D64C3">
        <w:rPr>
          <w:rFonts w:ascii="Playfair Display" w:hAnsi="Playfair Display"/>
          <w:sz w:val="20"/>
        </w:rPr>
        <w:t>i Hivatal szerzi be a MAB-tól és a</w:t>
      </w:r>
      <w:r w:rsidRPr="008D64C3">
        <w:rPr>
          <w:rFonts w:ascii="Playfair Display" w:hAnsi="Playfair Display"/>
          <w:sz w:val="20"/>
        </w:rPr>
        <w:t>z eljárás során a MAB honlapján elérhető, hatályos szakindítási útmutató szerint szükséges kidolgozni a szakindítási beadványt.</w:t>
      </w:r>
    </w:p>
    <w:p w14:paraId="20E34CED" w14:textId="77777777" w:rsidR="00A51777" w:rsidRPr="008D64C3" w:rsidRDefault="00A51777" w:rsidP="00A51777">
      <w:pPr>
        <w:pStyle w:val="Listaszerbekezds"/>
        <w:numPr>
          <w:ilvl w:val="0"/>
          <w:numId w:val="2"/>
        </w:numPr>
        <w:jc w:val="both"/>
        <w:rPr>
          <w:rFonts w:ascii="Playfair Display" w:hAnsi="Playfair Display"/>
          <w:sz w:val="20"/>
        </w:rPr>
      </w:pPr>
      <w:r w:rsidRPr="008D64C3">
        <w:rPr>
          <w:rFonts w:ascii="Playfair Display" w:hAnsi="Playfair Display"/>
          <w:sz w:val="20"/>
        </w:rPr>
        <w:t xml:space="preserve">Amennyiben a </w:t>
      </w:r>
      <w:r w:rsidR="009D57FA" w:rsidRPr="008D64C3">
        <w:rPr>
          <w:rFonts w:ascii="Playfair Display" w:hAnsi="Playfair Display"/>
          <w:sz w:val="20"/>
        </w:rPr>
        <w:t xml:space="preserve">MAB </w:t>
      </w:r>
      <w:r w:rsidRPr="008D64C3">
        <w:rPr>
          <w:rFonts w:ascii="Playfair Display" w:hAnsi="Playfair Display"/>
          <w:sz w:val="20"/>
        </w:rPr>
        <w:t>Testület</w:t>
      </w:r>
      <w:r w:rsidR="009D57FA" w:rsidRPr="008D64C3">
        <w:rPr>
          <w:rFonts w:ascii="Playfair Display" w:hAnsi="Playfair Display"/>
          <w:sz w:val="20"/>
        </w:rPr>
        <w:t>e</w:t>
      </w:r>
      <w:r w:rsidRPr="008D64C3">
        <w:rPr>
          <w:rFonts w:ascii="Playfair Display" w:hAnsi="Playfair Display"/>
          <w:sz w:val="20"/>
        </w:rPr>
        <w:t xml:space="preserve"> támogatja a szaklétesítést, de a szakindítást nem, a döntést követően </w:t>
      </w:r>
      <w:r w:rsidR="009D57FA" w:rsidRPr="008D64C3">
        <w:rPr>
          <w:rFonts w:ascii="Playfair Display" w:hAnsi="Playfair Display"/>
          <w:sz w:val="20"/>
        </w:rPr>
        <w:t>a</w:t>
      </w:r>
      <w:r w:rsidRPr="008D64C3">
        <w:rPr>
          <w:rFonts w:ascii="Playfair Display" w:hAnsi="Playfair Display"/>
          <w:sz w:val="20"/>
        </w:rPr>
        <w:t xml:space="preserve"> szakértői véleményt már az </w:t>
      </w:r>
      <w:proofErr w:type="spellStart"/>
      <w:r w:rsidRPr="008D64C3">
        <w:rPr>
          <w:rFonts w:ascii="Playfair Display" w:hAnsi="Playfair Display"/>
          <w:sz w:val="20"/>
        </w:rPr>
        <w:t>Nftv</w:t>
      </w:r>
      <w:proofErr w:type="spellEnd"/>
      <w:r w:rsidRPr="008D64C3">
        <w:rPr>
          <w:rFonts w:ascii="Playfair Display" w:hAnsi="Playfair Display"/>
          <w:sz w:val="20"/>
        </w:rPr>
        <w:t>. 67. § (4) bekezdése</w:t>
      </w:r>
      <w:r w:rsidR="00596551">
        <w:rPr>
          <w:rStyle w:val="Lbjegyzet-hivatkozs"/>
          <w:rFonts w:ascii="Playfair Display" w:hAnsi="Playfair Display"/>
          <w:sz w:val="20"/>
        </w:rPr>
        <w:footnoteReference w:id="2"/>
      </w:r>
      <w:r w:rsidRPr="008D64C3">
        <w:rPr>
          <w:rFonts w:ascii="Playfair Display" w:hAnsi="Playfair Display"/>
          <w:sz w:val="20"/>
        </w:rPr>
        <w:t xml:space="preserve"> szerint a szak nyilvántartásba vétele során az Oktatási Hivatal s</w:t>
      </w:r>
      <w:r w:rsidR="00AC6303" w:rsidRPr="008D64C3">
        <w:rPr>
          <w:rFonts w:ascii="Playfair Display" w:hAnsi="Playfair Display"/>
          <w:sz w:val="20"/>
        </w:rPr>
        <w:t>zerzi be a MAB-tól és a</w:t>
      </w:r>
      <w:r w:rsidRPr="008D64C3">
        <w:rPr>
          <w:rFonts w:ascii="Playfair Display" w:hAnsi="Playfair Display"/>
          <w:sz w:val="20"/>
        </w:rPr>
        <w:t>z eljárás során a MAB honlapján elérhető, hatályos szakindítási útmutató szerint szükséges kidolgozni a szakindítási beadványt.</w:t>
      </w:r>
    </w:p>
    <w:p w14:paraId="20E34CEE" w14:textId="77777777" w:rsidR="009D57FA" w:rsidRDefault="009D57FA" w:rsidP="00A51777">
      <w:pPr>
        <w:jc w:val="both"/>
        <w:rPr>
          <w:rFonts w:ascii="Playfair Display" w:hAnsi="Playfair Display"/>
          <w:sz w:val="20"/>
        </w:rPr>
      </w:pPr>
      <w:r>
        <w:rPr>
          <w:rFonts w:ascii="Playfair Display" w:hAnsi="Playfair Display"/>
          <w:sz w:val="20"/>
        </w:rPr>
        <w:t>Amennyiben a MAB Testülete nem támogatja a szaklé</w:t>
      </w:r>
      <w:r w:rsidR="008D64C3">
        <w:rPr>
          <w:rFonts w:ascii="Playfair Display" w:hAnsi="Playfair Display"/>
          <w:sz w:val="20"/>
        </w:rPr>
        <w:t>tesítést, a szakindítási</w:t>
      </w:r>
      <w:r>
        <w:rPr>
          <w:rFonts w:ascii="Playfair Display" w:hAnsi="Playfair Display"/>
          <w:sz w:val="20"/>
        </w:rPr>
        <w:t xml:space="preserve"> is elutasító határozattal zárul. </w:t>
      </w:r>
    </w:p>
    <w:p w14:paraId="20E34CEF" w14:textId="77777777" w:rsidR="00B378BC" w:rsidRDefault="00B378BC" w:rsidP="00A51777">
      <w:pPr>
        <w:jc w:val="both"/>
        <w:rPr>
          <w:rFonts w:ascii="Playfair Display" w:hAnsi="Playfair Display"/>
          <w:sz w:val="20"/>
          <w:u w:val="single"/>
        </w:rPr>
      </w:pPr>
      <w:r w:rsidRPr="00B378BC">
        <w:rPr>
          <w:rFonts w:ascii="Playfair Display" w:hAnsi="Playfair Display"/>
          <w:sz w:val="20"/>
          <w:u w:val="single"/>
        </w:rPr>
        <w:t xml:space="preserve">A döntés tartalma: </w:t>
      </w:r>
    </w:p>
    <w:p w14:paraId="20E34CF0" w14:textId="77777777" w:rsidR="00B378BC" w:rsidRDefault="00E400BD" w:rsidP="00A51777">
      <w:pPr>
        <w:jc w:val="both"/>
        <w:rPr>
          <w:rFonts w:ascii="Playfair Display" w:hAnsi="Playfair Display"/>
          <w:sz w:val="20"/>
        </w:rPr>
      </w:pPr>
      <w:r w:rsidRPr="00F4134C">
        <w:rPr>
          <w:rFonts w:ascii="Playfair Display" w:hAnsi="Playfair Display"/>
          <w:sz w:val="20"/>
        </w:rPr>
        <w:t xml:space="preserve">Szaklétesítés során a határozati indoklás </w:t>
      </w:r>
      <w:r w:rsidR="00F4134C">
        <w:rPr>
          <w:rFonts w:ascii="Playfair Display" w:hAnsi="Playfair Display"/>
          <w:sz w:val="20"/>
        </w:rPr>
        <w:t>a szaktávolság kérdésére, a nemzetközi tendenciához való igazodásra, a képzési területhez való besorolásra, a képzési szint megfelelőségére, a szakképzettség és a megszerezhető kompetenciák összhangjára vonatkozó megállapításokat tartalmaz.</w:t>
      </w:r>
    </w:p>
    <w:p w14:paraId="20E34CF1" w14:textId="77777777" w:rsidR="00A51777" w:rsidRDefault="00F4134C" w:rsidP="00AA02A0">
      <w:pPr>
        <w:jc w:val="both"/>
        <w:rPr>
          <w:rFonts w:ascii="Playfair Display" w:hAnsi="Playfair Display"/>
          <w:sz w:val="20"/>
        </w:rPr>
      </w:pPr>
      <w:r>
        <w:rPr>
          <w:rFonts w:ascii="Playfair Display" w:hAnsi="Playfair Display"/>
          <w:sz w:val="20"/>
        </w:rPr>
        <w:t xml:space="preserve">A létesítéssel párhuzamosan a szak indítására vonatkozó, a szak nyilvántartásba vételéhez szükséges szakvélemény tartalma arra vonatkozóan tartalmaz megállapításokat, hogy </w:t>
      </w:r>
      <w:r w:rsidRPr="00F4134C">
        <w:rPr>
          <w:rFonts w:ascii="Playfair Display" w:hAnsi="Playfair Display"/>
          <w:sz w:val="20"/>
        </w:rPr>
        <w:t xml:space="preserve">adott képzés indításának </w:t>
      </w:r>
      <w:r>
        <w:rPr>
          <w:rFonts w:ascii="Playfair Display" w:hAnsi="Playfair Display"/>
          <w:sz w:val="20"/>
        </w:rPr>
        <w:t xml:space="preserve">tárgyi és személyi </w:t>
      </w:r>
      <w:r w:rsidRPr="00F4134C">
        <w:rPr>
          <w:rFonts w:ascii="Playfair Display" w:hAnsi="Playfair Display"/>
          <w:sz w:val="20"/>
        </w:rPr>
        <w:t>feltételei fennállnak-e a felsőoktatási intézménynél.</w:t>
      </w:r>
      <w:r>
        <w:rPr>
          <w:rFonts w:ascii="Playfair Display" w:hAnsi="Playfair Display"/>
          <w:sz w:val="20"/>
        </w:rPr>
        <w:t xml:space="preserve"> A határozati indoklás </w:t>
      </w:r>
      <w:r w:rsidR="00AA02A0">
        <w:rPr>
          <w:rFonts w:ascii="Playfair Display" w:hAnsi="Playfair Display"/>
          <w:sz w:val="20"/>
        </w:rPr>
        <w:t xml:space="preserve">az indítani tervezett </w:t>
      </w:r>
      <w:r>
        <w:rPr>
          <w:rFonts w:ascii="Playfair Display" w:hAnsi="Playfair Display"/>
          <w:sz w:val="20"/>
        </w:rPr>
        <w:t xml:space="preserve">szak </w:t>
      </w:r>
      <w:r w:rsidR="00AC6303">
        <w:rPr>
          <w:rFonts w:ascii="Playfair Display" w:hAnsi="Playfair Display"/>
          <w:sz w:val="20"/>
        </w:rPr>
        <w:t>képzési tervének</w:t>
      </w:r>
      <w:r w:rsidR="00AA02A0">
        <w:rPr>
          <w:rFonts w:ascii="Playfair Display" w:hAnsi="Playfair Display"/>
          <w:sz w:val="20"/>
        </w:rPr>
        <w:t xml:space="preserve"> </w:t>
      </w:r>
      <w:r>
        <w:rPr>
          <w:rFonts w:ascii="Playfair Display" w:hAnsi="Playfair Display"/>
          <w:sz w:val="20"/>
        </w:rPr>
        <w:t>a létesítés alatt álló KKK-</w:t>
      </w:r>
      <w:proofErr w:type="spellStart"/>
      <w:r>
        <w:rPr>
          <w:rFonts w:ascii="Playfair Display" w:hAnsi="Playfair Display"/>
          <w:sz w:val="20"/>
        </w:rPr>
        <w:t>nak</w:t>
      </w:r>
      <w:proofErr w:type="spellEnd"/>
      <w:r>
        <w:rPr>
          <w:rFonts w:ascii="Playfair Display" w:hAnsi="Playfair Display"/>
          <w:sz w:val="20"/>
        </w:rPr>
        <w:t xml:space="preserve"> való</w:t>
      </w:r>
      <w:r w:rsidR="00AA02A0">
        <w:rPr>
          <w:rFonts w:ascii="Playfair Display" w:hAnsi="Playfair Display"/>
          <w:sz w:val="20"/>
        </w:rPr>
        <w:t xml:space="preserve"> jogszabályi </w:t>
      </w:r>
      <w:r>
        <w:rPr>
          <w:rFonts w:ascii="Playfair Display" w:hAnsi="Playfair Display"/>
          <w:sz w:val="20"/>
        </w:rPr>
        <w:t>meg</w:t>
      </w:r>
      <w:r w:rsidR="00AA02A0">
        <w:rPr>
          <w:rFonts w:ascii="Playfair Display" w:hAnsi="Playfair Display"/>
          <w:sz w:val="20"/>
        </w:rPr>
        <w:t xml:space="preserve">felelőségre és a személyi feltételek jogszabályi megfelelőségére vonatkozó megállapításokat tartalmaz a </w:t>
      </w:r>
      <w:r w:rsidR="00AA02A0" w:rsidRPr="00AA02A0">
        <w:rPr>
          <w:rFonts w:ascii="Playfair Display" w:hAnsi="Playfair Display"/>
          <w:sz w:val="20"/>
        </w:rPr>
        <w:t>87/2015. (IV. 9.) Korm. rendelet</w:t>
      </w:r>
      <w:r w:rsidR="00AA02A0">
        <w:rPr>
          <w:rFonts w:ascii="Playfair Display" w:hAnsi="Playfair Display"/>
          <w:sz w:val="20"/>
        </w:rPr>
        <w:t xml:space="preserve"> </w:t>
      </w:r>
      <w:r w:rsidR="00AA02A0" w:rsidRPr="00AA02A0">
        <w:rPr>
          <w:rFonts w:ascii="Playfair Display" w:hAnsi="Playfair Display"/>
          <w:sz w:val="20"/>
        </w:rPr>
        <w:t xml:space="preserve">a nemzeti felsőoktatásról szóló 2011. évi CCIV. törvény egyes </w:t>
      </w:r>
      <w:r w:rsidR="00AA02A0">
        <w:rPr>
          <w:rFonts w:ascii="Playfair Display" w:hAnsi="Playfair Display"/>
          <w:sz w:val="20"/>
        </w:rPr>
        <w:t>rendelkezéseinek végrehajtásának 5. melléklete alapján:</w:t>
      </w:r>
    </w:p>
    <w:p w14:paraId="20E34CF2" w14:textId="77777777" w:rsidR="00AA02A0" w:rsidRDefault="00AA02A0" w:rsidP="00AA02A0">
      <w:pPr>
        <w:pStyle w:val="Listaszerbekezds"/>
        <w:numPr>
          <w:ilvl w:val="0"/>
          <w:numId w:val="1"/>
        </w:numPr>
        <w:jc w:val="both"/>
        <w:rPr>
          <w:rFonts w:ascii="Playfair Display" w:hAnsi="Playfair Display"/>
          <w:sz w:val="20"/>
        </w:rPr>
      </w:pPr>
      <w:r>
        <w:rPr>
          <w:rFonts w:ascii="Playfair Display" w:hAnsi="Playfair Display"/>
          <w:sz w:val="20"/>
        </w:rPr>
        <w:t>a képzés tartalmának vizsgálata során azt vizsgálja a MAB, hogy az indítani tervezett szakot felépítő tudományágak, szakterületek megfelelnek-e a létesítés során benyújtott KKK-</w:t>
      </w:r>
      <w:proofErr w:type="spellStart"/>
      <w:r>
        <w:rPr>
          <w:rFonts w:ascii="Playfair Display" w:hAnsi="Playfair Display"/>
          <w:sz w:val="20"/>
        </w:rPr>
        <w:t>nak</w:t>
      </w:r>
      <w:proofErr w:type="spellEnd"/>
      <w:r>
        <w:rPr>
          <w:rFonts w:ascii="Playfair Display" w:hAnsi="Playfair Display"/>
          <w:sz w:val="20"/>
        </w:rPr>
        <w:t>, a tervezett tanterv alkalmas lehet-e a képzési cél elérésére, illetve biztosított-e az ismeretek egymásra épülése.</w:t>
      </w:r>
    </w:p>
    <w:p w14:paraId="20E34CF3" w14:textId="77777777" w:rsidR="00AA02A0" w:rsidRDefault="00AA02A0" w:rsidP="00AA02A0">
      <w:pPr>
        <w:pStyle w:val="Listaszerbekezds"/>
        <w:numPr>
          <w:ilvl w:val="0"/>
          <w:numId w:val="1"/>
        </w:numPr>
        <w:jc w:val="both"/>
        <w:rPr>
          <w:rFonts w:ascii="Playfair Display" w:hAnsi="Playfair Display"/>
          <w:sz w:val="20"/>
        </w:rPr>
      </w:pPr>
      <w:r>
        <w:rPr>
          <w:rFonts w:ascii="Playfair Display" w:hAnsi="Playfair Display"/>
          <w:sz w:val="20"/>
        </w:rPr>
        <w:t xml:space="preserve">a képzés személyi feltételeinek vizsgálata során a MAB a jogszabályi előírásoknak megfelelően a szakfelelős és a szakirány felelősének (ha van) alkalmazási feltételeit, munkaköri besorolását, </w:t>
      </w:r>
      <w:r w:rsidR="00D551F9">
        <w:rPr>
          <w:rFonts w:ascii="Playfair Display" w:hAnsi="Playfair Display"/>
          <w:sz w:val="20"/>
        </w:rPr>
        <w:t>valamint a tudományos fokozattal rendelkező, a képzésbe bevonni tervezett oktatók arányát vizsgálja.</w:t>
      </w:r>
    </w:p>
    <w:p w14:paraId="20E34CF4" w14:textId="3BFE43C5" w:rsidR="00AC0704" w:rsidRDefault="00D551F9" w:rsidP="00AC0704">
      <w:pPr>
        <w:jc w:val="both"/>
        <w:rPr>
          <w:rFonts w:ascii="Playfair Display" w:hAnsi="Playfair Display"/>
          <w:sz w:val="20"/>
        </w:rPr>
      </w:pPr>
      <w:r>
        <w:rPr>
          <w:rFonts w:ascii="Playfair Display" w:hAnsi="Playfair Display"/>
          <w:sz w:val="20"/>
        </w:rPr>
        <w:lastRenderedPageBreak/>
        <w:t xml:space="preserve">A szaklétesítéssel együtt kezdeményezett szakindítási beadvány esetében a MAB szakértői véleménye </w:t>
      </w:r>
      <w:r w:rsidRPr="00D551F9">
        <w:rPr>
          <w:rFonts w:ascii="Playfair Display" w:hAnsi="Playfair Display"/>
          <w:sz w:val="20"/>
        </w:rPr>
        <w:t>a jogszabályi megfelelőségeket vizsgálja a</w:t>
      </w:r>
      <w:r>
        <w:rPr>
          <w:rFonts w:ascii="Playfair Display" w:hAnsi="Playfair Display"/>
          <w:sz w:val="20"/>
        </w:rPr>
        <w:t xml:space="preserve"> szak </w:t>
      </w:r>
      <w:r w:rsidRPr="00D551F9">
        <w:rPr>
          <w:rFonts w:ascii="Playfair Display" w:hAnsi="Playfair Display"/>
          <w:sz w:val="20"/>
        </w:rPr>
        <w:t>nyilvántartásba vétel</w:t>
      </w:r>
      <w:r>
        <w:rPr>
          <w:rFonts w:ascii="Playfair Display" w:hAnsi="Playfair Display"/>
          <w:sz w:val="20"/>
        </w:rPr>
        <w:t>é</w:t>
      </w:r>
      <w:r w:rsidRPr="00D551F9">
        <w:rPr>
          <w:rFonts w:ascii="Playfair Display" w:hAnsi="Playfair Display"/>
          <w:sz w:val="20"/>
        </w:rPr>
        <w:t>hez</w:t>
      </w:r>
      <w:r>
        <w:rPr>
          <w:rFonts w:ascii="Playfair Display" w:hAnsi="Playfair Display"/>
          <w:sz w:val="20"/>
        </w:rPr>
        <w:t xml:space="preserve">, </w:t>
      </w:r>
      <w:r w:rsidRPr="00D551F9">
        <w:rPr>
          <w:rFonts w:ascii="Playfair Display" w:hAnsi="Playfair Display"/>
          <w:sz w:val="20"/>
        </w:rPr>
        <w:t xml:space="preserve"> </w:t>
      </w:r>
      <w:r w:rsidR="008D64C3">
        <w:rPr>
          <w:rFonts w:ascii="Playfair Display" w:hAnsi="Playfair Display"/>
          <w:sz w:val="20"/>
        </w:rPr>
        <w:t>az indítani tervezett szak</w:t>
      </w:r>
      <w:r>
        <w:rPr>
          <w:rFonts w:ascii="Playfair Display" w:hAnsi="Playfair Display"/>
          <w:sz w:val="20"/>
        </w:rPr>
        <w:t xml:space="preserve">tárgyi és személyi feltételeinek minőségére vonatkozó megállapításokat a határozat nem tartalmaz, ezért jelen eljárás keretében született támogató döntés nem </w:t>
      </w:r>
      <w:r w:rsidR="00AC0704">
        <w:rPr>
          <w:rFonts w:ascii="Playfair Display" w:hAnsi="Playfair Display"/>
          <w:sz w:val="20"/>
        </w:rPr>
        <w:t>egyenértékű azzal a pozitív szakértői véleménnyel, melyet a MAB az Oktatási Hivatal vagy a felsőoktatási intézmény kérésére végez a tárgyi és személyi feltételek részletes vizsgálata során</w:t>
      </w:r>
      <w:r>
        <w:rPr>
          <w:rFonts w:ascii="Playfair Display" w:hAnsi="Playfair Display"/>
          <w:sz w:val="20"/>
        </w:rPr>
        <w:t xml:space="preserve">. A szak </w:t>
      </w:r>
      <w:r w:rsidR="00AC0704">
        <w:rPr>
          <w:rFonts w:ascii="Playfair Display" w:hAnsi="Playfair Display"/>
          <w:sz w:val="20"/>
        </w:rPr>
        <w:t xml:space="preserve">működését </w:t>
      </w:r>
      <w:r w:rsidR="00AC6303">
        <w:rPr>
          <w:rFonts w:ascii="Playfair Display" w:hAnsi="Playfair Display"/>
          <w:sz w:val="20"/>
        </w:rPr>
        <w:t>vizsgáló</w:t>
      </w:r>
      <w:r w:rsidR="00AC0704">
        <w:rPr>
          <w:rFonts w:ascii="Playfair Display" w:hAnsi="Playfair Display"/>
          <w:sz w:val="20"/>
        </w:rPr>
        <w:t xml:space="preserve"> szakértői vélemény kialakításához szükséges</w:t>
      </w:r>
      <w:r>
        <w:rPr>
          <w:rFonts w:ascii="Playfair Display" w:hAnsi="Playfair Display"/>
          <w:sz w:val="20"/>
        </w:rPr>
        <w:t xml:space="preserve"> szakértői munkát a felsőoktatási intézmény kérésére, a létesí</w:t>
      </w:r>
      <w:r w:rsidR="00AC0704">
        <w:rPr>
          <w:rFonts w:ascii="Playfair Display" w:hAnsi="Playfair Display"/>
          <w:sz w:val="20"/>
        </w:rPr>
        <w:t>tési eljárás lezárását</w:t>
      </w:r>
      <w:r>
        <w:rPr>
          <w:rFonts w:ascii="Playfair Display" w:hAnsi="Playfair Display"/>
          <w:sz w:val="20"/>
        </w:rPr>
        <w:t xml:space="preserve"> és a szak szakjegyzékben való megjelenését követően kérheti </w:t>
      </w:r>
      <w:r w:rsidR="00AC0704">
        <w:rPr>
          <w:rFonts w:ascii="Playfair Display" w:hAnsi="Playfair Display"/>
          <w:sz w:val="20"/>
        </w:rPr>
        <w:t xml:space="preserve">a felsőoktatási intézmény a MAB-tól. A szak </w:t>
      </w:r>
      <w:r w:rsidR="004F0C26">
        <w:rPr>
          <w:rFonts w:ascii="Playfair Display" w:hAnsi="Playfair Display"/>
          <w:sz w:val="20"/>
        </w:rPr>
        <w:t>működésére vonatkozó szakértői véleményt</w:t>
      </w:r>
      <w:r w:rsidR="00AC0704">
        <w:rPr>
          <w:rFonts w:ascii="Playfair Display" w:hAnsi="Playfair Display"/>
          <w:sz w:val="20"/>
        </w:rPr>
        <w:t xml:space="preserve"> a</w:t>
      </w:r>
      <w:r w:rsidR="00AC6303">
        <w:rPr>
          <w:rFonts w:ascii="Playfair Display" w:hAnsi="Playfair Display"/>
          <w:sz w:val="20"/>
        </w:rPr>
        <w:t xml:space="preserve"> MAB honlapján elérhető</w:t>
      </w:r>
      <w:r w:rsidR="00AC0704">
        <w:rPr>
          <w:rFonts w:ascii="Playfair Display" w:hAnsi="Playfair Display"/>
          <w:sz w:val="20"/>
        </w:rPr>
        <w:t xml:space="preserve"> hatályos szakindítási útmutató szerint kidolgozott szakindítási dokumentum benyújtása</w:t>
      </w:r>
      <w:r w:rsidR="004F0C26">
        <w:rPr>
          <w:rFonts w:ascii="Playfair Display" w:hAnsi="Playfair Display"/>
          <w:sz w:val="20"/>
        </w:rPr>
        <w:t xml:space="preserve"> mellett kérheti a felsőoktatási intézmény vezetője</w:t>
      </w:r>
      <w:r w:rsidR="00AC0704">
        <w:rPr>
          <w:rFonts w:ascii="Playfair Display" w:hAnsi="Playfair Display"/>
          <w:sz w:val="20"/>
        </w:rPr>
        <w:t>. Az eljárás során a MAB a szakmai bírálati szempo</w:t>
      </w:r>
      <w:r w:rsidR="00AC6303">
        <w:rPr>
          <w:rFonts w:ascii="Playfair Display" w:hAnsi="Playfair Display"/>
          <w:sz w:val="20"/>
        </w:rPr>
        <w:t>ntrendszere szerint készíti el</w:t>
      </w:r>
      <w:r w:rsidR="00AC0704">
        <w:rPr>
          <w:rFonts w:ascii="Playfair Display" w:hAnsi="Playfair Display"/>
          <w:sz w:val="20"/>
        </w:rPr>
        <w:t xml:space="preserve"> szakértői véleményét</w:t>
      </w:r>
      <w:r w:rsidR="008D64C3">
        <w:rPr>
          <w:rFonts w:ascii="Playfair Display" w:hAnsi="Playfair Display"/>
          <w:sz w:val="20"/>
        </w:rPr>
        <w:t xml:space="preserve"> úgy</w:t>
      </w:r>
      <w:r w:rsidR="006E14D8">
        <w:rPr>
          <w:rFonts w:ascii="Playfair Display" w:hAnsi="Playfair Display"/>
          <w:sz w:val="20"/>
        </w:rPr>
        <w:t>,</w:t>
      </w:r>
      <w:r w:rsidR="008D64C3">
        <w:rPr>
          <w:rFonts w:ascii="Playfair Display" w:hAnsi="Playfair Display"/>
          <w:sz w:val="20"/>
        </w:rPr>
        <w:t xml:space="preserve"> hogy a jelen eljárás keretei között tett megállapításokat már nem bírálja felül, és csak a nem vizsgált különbözeti területekre tesz új értékelő megállapításokat. </w:t>
      </w:r>
    </w:p>
    <w:p w14:paraId="20E34CF5" w14:textId="77777777" w:rsidR="00AC0704" w:rsidRDefault="00AC0704" w:rsidP="00774E01">
      <w:pPr>
        <w:jc w:val="both"/>
        <w:rPr>
          <w:rFonts w:ascii="Playfair Display" w:hAnsi="Playfair Display"/>
          <w:sz w:val="20"/>
        </w:rPr>
      </w:pPr>
    </w:p>
    <w:p w14:paraId="20E34CF6" w14:textId="77777777" w:rsidR="009D57FA" w:rsidRPr="009D57FA" w:rsidRDefault="009D57FA" w:rsidP="009D57FA">
      <w:pPr>
        <w:rPr>
          <w:rFonts w:ascii="Playfair Display" w:hAnsi="Playfair Display"/>
          <w:sz w:val="20"/>
        </w:rPr>
      </w:pPr>
    </w:p>
    <w:p w14:paraId="20E34CF7" w14:textId="77777777" w:rsidR="009D57FA" w:rsidRPr="009D57FA" w:rsidRDefault="009D57FA" w:rsidP="009D57FA">
      <w:pPr>
        <w:rPr>
          <w:rFonts w:ascii="Playfair Display" w:hAnsi="Playfair Display"/>
          <w:sz w:val="20"/>
        </w:rPr>
      </w:pPr>
    </w:p>
    <w:p w14:paraId="20E34CF8" w14:textId="77777777" w:rsidR="009D57FA" w:rsidRPr="009D57FA" w:rsidRDefault="009D57FA" w:rsidP="009D57FA">
      <w:pPr>
        <w:rPr>
          <w:rFonts w:ascii="Playfair Display" w:hAnsi="Playfair Display"/>
          <w:sz w:val="20"/>
        </w:rPr>
      </w:pPr>
    </w:p>
    <w:p w14:paraId="20E34CF9" w14:textId="77777777" w:rsidR="009D57FA" w:rsidRPr="009D57FA" w:rsidRDefault="009D57FA" w:rsidP="009D57FA">
      <w:pPr>
        <w:rPr>
          <w:rFonts w:ascii="Playfair Display" w:hAnsi="Playfair Display"/>
          <w:sz w:val="20"/>
        </w:rPr>
      </w:pPr>
    </w:p>
    <w:p w14:paraId="20E34CFA" w14:textId="77777777" w:rsidR="009D57FA" w:rsidRPr="009D57FA" w:rsidRDefault="009D57FA" w:rsidP="009D57FA">
      <w:pPr>
        <w:rPr>
          <w:rFonts w:ascii="Playfair Display" w:hAnsi="Playfair Display"/>
          <w:sz w:val="20"/>
        </w:rPr>
      </w:pPr>
    </w:p>
    <w:p w14:paraId="20E34CFB" w14:textId="77777777" w:rsidR="009D57FA" w:rsidRPr="009D57FA" w:rsidRDefault="009D57FA" w:rsidP="009D57FA">
      <w:pPr>
        <w:rPr>
          <w:rFonts w:ascii="Playfair Display" w:hAnsi="Playfair Display"/>
          <w:sz w:val="20"/>
        </w:rPr>
      </w:pPr>
    </w:p>
    <w:p w14:paraId="20E34CFC" w14:textId="77777777" w:rsidR="009D57FA" w:rsidRDefault="009D57FA" w:rsidP="009D57FA">
      <w:pPr>
        <w:rPr>
          <w:rFonts w:ascii="Playfair Display" w:hAnsi="Playfair Display"/>
          <w:sz w:val="20"/>
        </w:rPr>
      </w:pPr>
    </w:p>
    <w:p w14:paraId="20E34CFD" w14:textId="77777777" w:rsidR="00A0554F" w:rsidRPr="009D57FA" w:rsidRDefault="009D57FA" w:rsidP="009D57FA">
      <w:pPr>
        <w:tabs>
          <w:tab w:val="left" w:pos="2143"/>
        </w:tabs>
        <w:rPr>
          <w:rFonts w:ascii="Playfair Display" w:hAnsi="Playfair Display"/>
          <w:sz w:val="20"/>
        </w:rPr>
      </w:pPr>
      <w:r>
        <w:rPr>
          <w:rFonts w:ascii="Playfair Display" w:hAnsi="Playfair Display"/>
          <w:sz w:val="20"/>
        </w:rPr>
        <w:tab/>
      </w:r>
    </w:p>
    <w:sectPr w:rsidR="00A0554F" w:rsidRPr="009D57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5290" w14:textId="77777777" w:rsidR="0039591B" w:rsidRDefault="0039591B" w:rsidP="00774E01">
      <w:pPr>
        <w:spacing w:after="0" w:line="240" w:lineRule="auto"/>
      </w:pPr>
      <w:r>
        <w:separator/>
      </w:r>
    </w:p>
  </w:endnote>
  <w:endnote w:type="continuationSeparator" w:id="0">
    <w:p w14:paraId="6438B413" w14:textId="77777777" w:rsidR="0039591B" w:rsidRDefault="0039591B" w:rsidP="0077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altName w:val="Playfair Display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layfair Display" w:hAnsi="Playfair Display"/>
        <w:sz w:val="18"/>
      </w:rPr>
      <w:id w:val="-363519873"/>
      <w:docPartObj>
        <w:docPartGallery w:val="Page Numbers (Bottom of Page)"/>
        <w:docPartUnique/>
      </w:docPartObj>
    </w:sdtPr>
    <w:sdtEndPr/>
    <w:sdtContent>
      <w:p w14:paraId="20E34D02" w14:textId="77777777" w:rsidR="009D57FA" w:rsidRPr="009D57FA" w:rsidRDefault="009D57FA">
        <w:pPr>
          <w:pStyle w:val="llb"/>
          <w:jc w:val="center"/>
          <w:rPr>
            <w:rFonts w:ascii="Playfair Display" w:hAnsi="Playfair Display"/>
            <w:sz w:val="18"/>
          </w:rPr>
        </w:pPr>
        <w:r w:rsidRPr="009D57FA">
          <w:rPr>
            <w:rFonts w:ascii="Playfair Display" w:hAnsi="Playfair Display"/>
            <w:sz w:val="18"/>
          </w:rPr>
          <w:fldChar w:fldCharType="begin"/>
        </w:r>
        <w:r w:rsidRPr="009D57FA">
          <w:rPr>
            <w:rFonts w:ascii="Playfair Display" w:hAnsi="Playfair Display"/>
            <w:sz w:val="18"/>
          </w:rPr>
          <w:instrText>PAGE   \* MERGEFORMAT</w:instrText>
        </w:r>
        <w:r w:rsidRPr="009D57FA">
          <w:rPr>
            <w:rFonts w:ascii="Playfair Display" w:hAnsi="Playfair Display"/>
            <w:sz w:val="18"/>
          </w:rPr>
          <w:fldChar w:fldCharType="separate"/>
        </w:r>
        <w:r w:rsidR="00262DC7">
          <w:rPr>
            <w:rFonts w:ascii="Playfair Display" w:hAnsi="Playfair Display"/>
            <w:noProof/>
            <w:sz w:val="18"/>
          </w:rPr>
          <w:t>2</w:t>
        </w:r>
        <w:r w:rsidRPr="009D57FA">
          <w:rPr>
            <w:rFonts w:ascii="Playfair Display" w:hAnsi="Playfair Display"/>
            <w:sz w:val="18"/>
          </w:rPr>
          <w:fldChar w:fldCharType="end"/>
        </w:r>
      </w:p>
    </w:sdtContent>
  </w:sdt>
  <w:p w14:paraId="20E34D03" w14:textId="77777777" w:rsidR="009D57FA" w:rsidRDefault="009D57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F347" w14:textId="77777777" w:rsidR="0039591B" w:rsidRDefault="0039591B" w:rsidP="00774E01">
      <w:pPr>
        <w:spacing w:after="0" w:line="240" w:lineRule="auto"/>
      </w:pPr>
      <w:r>
        <w:separator/>
      </w:r>
    </w:p>
  </w:footnote>
  <w:footnote w:type="continuationSeparator" w:id="0">
    <w:p w14:paraId="7A6B6CA6" w14:textId="77777777" w:rsidR="0039591B" w:rsidRDefault="0039591B" w:rsidP="00774E01">
      <w:pPr>
        <w:spacing w:after="0" w:line="240" w:lineRule="auto"/>
      </w:pPr>
      <w:r>
        <w:continuationSeparator/>
      </w:r>
    </w:p>
  </w:footnote>
  <w:footnote w:id="1">
    <w:p w14:paraId="20E34D04" w14:textId="7B7DAA92" w:rsidR="00774E01" w:rsidRPr="00774E01" w:rsidRDefault="00774E01" w:rsidP="00253D63">
      <w:pPr>
        <w:pStyle w:val="Lbjegyzetszveg"/>
        <w:rPr>
          <w:rFonts w:ascii="Playfair Display" w:hAnsi="Playfair Display"/>
          <w:sz w:val="16"/>
        </w:rPr>
      </w:pPr>
      <w:r w:rsidRPr="00774E01">
        <w:rPr>
          <w:rStyle w:val="Lbjegyzet-hivatkozs"/>
          <w:rFonts w:ascii="Playfair Display" w:hAnsi="Playfair Display"/>
        </w:rPr>
        <w:footnoteRef/>
      </w:r>
      <w:r w:rsidRPr="00774E01">
        <w:rPr>
          <w:rFonts w:ascii="Playfair Display" w:hAnsi="Playfair Display"/>
        </w:rPr>
        <w:t xml:space="preserve"> </w:t>
      </w:r>
      <w:r w:rsidR="00253D63" w:rsidRPr="00253D63">
        <w:rPr>
          <w:rFonts w:ascii="Playfair Display" w:hAnsi="Playfair Display"/>
          <w:sz w:val="16"/>
        </w:rPr>
        <w:t>65/2021. (XII. 29.) ITM rendelet</w:t>
      </w:r>
      <w:r w:rsidR="00253D63">
        <w:rPr>
          <w:rFonts w:ascii="Playfair Display" w:hAnsi="Playfair Display"/>
          <w:sz w:val="16"/>
        </w:rPr>
        <w:t xml:space="preserve"> </w:t>
      </w:r>
      <w:r w:rsidR="00253D63" w:rsidRPr="00253D63">
        <w:rPr>
          <w:rFonts w:ascii="Playfair Display" w:hAnsi="Playfair Display"/>
          <w:sz w:val="16"/>
        </w:rPr>
        <w:t>a felsőoktatásban szerezhető képesítések jegyzékéről és az új képzések létesítéséről</w:t>
      </w:r>
    </w:p>
  </w:footnote>
  <w:footnote w:id="2">
    <w:p w14:paraId="20E34D05" w14:textId="77777777" w:rsidR="00596551" w:rsidRPr="00596551" w:rsidRDefault="00596551" w:rsidP="00596551">
      <w:pPr>
        <w:pStyle w:val="Lbjegyzetszveg"/>
        <w:rPr>
          <w:rFonts w:ascii="Playfair Display" w:hAnsi="Playfair Display"/>
        </w:rPr>
      </w:pPr>
      <w:r w:rsidRPr="00596551">
        <w:rPr>
          <w:rStyle w:val="Lbjegyzet-hivatkozs"/>
          <w:rFonts w:ascii="Playfair Display" w:hAnsi="Playfair Display"/>
          <w:sz w:val="16"/>
        </w:rPr>
        <w:footnoteRef/>
      </w:r>
      <w:r w:rsidRPr="00596551">
        <w:rPr>
          <w:rFonts w:ascii="Playfair Display" w:hAnsi="Playfair Display"/>
          <w:sz w:val="16"/>
        </w:rPr>
        <w:t xml:space="preserve"> 2011. évi CCIV. törvény a nemzeti felsőoktatásról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7226"/>
    <w:multiLevelType w:val="hybridMultilevel"/>
    <w:tmpl w:val="F760D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66E16"/>
    <w:multiLevelType w:val="hybridMultilevel"/>
    <w:tmpl w:val="D578E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01"/>
    <w:rsid w:val="00035B44"/>
    <w:rsid w:val="00253D63"/>
    <w:rsid w:val="00262DC7"/>
    <w:rsid w:val="0039591B"/>
    <w:rsid w:val="00484CD5"/>
    <w:rsid w:val="004F0C26"/>
    <w:rsid w:val="00596551"/>
    <w:rsid w:val="005F6FB7"/>
    <w:rsid w:val="00605105"/>
    <w:rsid w:val="006E14D8"/>
    <w:rsid w:val="00702946"/>
    <w:rsid w:val="0071720A"/>
    <w:rsid w:val="00774E01"/>
    <w:rsid w:val="00794F5C"/>
    <w:rsid w:val="007B7EE9"/>
    <w:rsid w:val="007E5AB6"/>
    <w:rsid w:val="008D64C3"/>
    <w:rsid w:val="009D57FA"/>
    <w:rsid w:val="00A0554F"/>
    <w:rsid w:val="00A51777"/>
    <w:rsid w:val="00AA02A0"/>
    <w:rsid w:val="00AC0704"/>
    <w:rsid w:val="00AC6303"/>
    <w:rsid w:val="00AD0113"/>
    <w:rsid w:val="00B11091"/>
    <w:rsid w:val="00B378BC"/>
    <w:rsid w:val="00C0009F"/>
    <w:rsid w:val="00CA7E2E"/>
    <w:rsid w:val="00D333C8"/>
    <w:rsid w:val="00D551F9"/>
    <w:rsid w:val="00E400BD"/>
    <w:rsid w:val="00E64A14"/>
    <w:rsid w:val="00F4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4CDB"/>
  <w15:chartTrackingRefBased/>
  <w15:docId w15:val="{CAA158D0-8A65-4C15-B45D-99C49882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74E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4E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74E0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D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57FA"/>
  </w:style>
  <w:style w:type="paragraph" w:styleId="llb">
    <w:name w:val="footer"/>
    <w:basedOn w:val="Norml"/>
    <w:link w:val="llbChar"/>
    <w:uiPriority w:val="99"/>
    <w:unhideWhenUsed/>
    <w:rsid w:val="009D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57FA"/>
  </w:style>
  <w:style w:type="paragraph" w:styleId="Listaszerbekezds">
    <w:name w:val="List Paragraph"/>
    <w:basedOn w:val="Norml"/>
    <w:uiPriority w:val="34"/>
    <w:qFormat/>
    <w:rsid w:val="00AA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4E60-1C12-49FB-B2B7-7CB93380C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68F72-ECB1-4085-AD94-94BC33560480}"/>
</file>

<file path=customXml/itemProps3.xml><?xml version="1.0" encoding="utf-8"?>
<ds:datastoreItem xmlns:ds="http://schemas.openxmlformats.org/officeDocument/2006/customXml" ds:itemID="{8B7D2EA5-21D1-4BD8-875B-14ABE10166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1C06B-5A12-4240-9B1E-49A7689E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Szlivka Andrea</dc:creator>
  <cp:keywords/>
  <dc:description/>
  <cp:lastModifiedBy>Bogdán Anikó</cp:lastModifiedBy>
  <cp:revision>10</cp:revision>
  <dcterms:created xsi:type="dcterms:W3CDTF">2021-12-10T11:19:00Z</dcterms:created>
  <dcterms:modified xsi:type="dcterms:W3CDTF">2022-03-26T08:15:00Z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</Properties>
</file>